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57AB22" w14:textId="77777777" w:rsidR="007973DE" w:rsidRDefault="00000000">
      <w:pPr>
        <w:spacing w:after="60"/>
      </w:pPr>
      <w:r>
        <w:rPr>
          <w:b/>
          <w:bCs/>
          <w:color w:val="00843D"/>
          <w:sz w:val="40"/>
          <w:szCs w:val="40"/>
        </w:rPr>
        <w:t>Consolidación de casos de prueba</w:t>
      </w:r>
    </w:p>
    <w:p w14:paraId="324CE85B" w14:textId="77777777" w:rsidR="007973DE" w:rsidRDefault="00000000">
      <w:pPr>
        <w:pBdr>
          <w:bottom w:val="single" w:sz="8" w:space="4" w:color="00843D"/>
        </w:pBdr>
        <w:spacing w:after="240"/>
      </w:pPr>
      <w:r>
        <w:rPr>
          <w:color w:val="595959"/>
        </w:rPr>
        <w:t>App Mi Banco · Procesos Registro, Autenticación y Home · 9 de octubre de 2026</w:t>
      </w:r>
    </w:p>
    <w:p w14:paraId="4B7ABCF4" w14:textId="77777777" w:rsidR="007973DE" w:rsidRDefault="00000000">
      <w:pPr>
        <w:pStyle w:val="Ttulo1"/>
        <w:spacing w:before="280" w:after="120"/>
      </w:pPr>
      <w:r>
        <w:t>1. Propósito</w:t>
      </w:r>
    </w:p>
    <w:p w14:paraId="3EAFCAEF" w14:textId="77777777" w:rsidR="007973DE" w:rsidRDefault="00000000">
      <w:pPr>
        <w:spacing w:after="120"/>
      </w:pPr>
      <w:r>
        <w:t xml:space="preserve">Este documento identifica los casos de prueba planificados en Azure DevOps que se solapan entre sí: casos que siguen el mismo flujo en la </w:t>
      </w:r>
      <w:proofErr w:type="gramStart"/>
      <w:r>
        <w:t>app</w:t>
      </w:r>
      <w:proofErr w:type="gramEnd"/>
      <w:r>
        <w:t xml:space="preserve"> y solo cambian los datos de entrada. Para la automatización, cada grupo se atiende con un único escenario, lo que reduce código a mantener y tiempo de ejecución sin perder cobertura.</w:t>
      </w:r>
    </w:p>
    <w:p w14:paraId="79091B0C" w14:textId="77777777" w:rsidR="007973DE" w:rsidRDefault="00000000">
      <w:pPr>
        <w:spacing w:after="120"/>
      </w:pPr>
      <w:r>
        <w:t xml:space="preserve">Fuentes: "Proyecto </w:t>
      </w:r>
      <w:proofErr w:type="spellStart"/>
      <w:r>
        <w:t>App_Autenticación</w:t>
      </w:r>
      <w:proofErr w:type="spellEnd"/>
      <w:r>
        <w:t xml:space="preserve"> y Registro.xlsx" (11 casos) y "Proyecto App_Home.xlsx" (14 casos), exportados de Azure DevOps.</w:t>
      </w:r>
    </w:p>
    <w:p w14:paraId="6D5F8E99" w14:textId="77777777" w:rsidR="007973DE" w:rsidRDefault="00000000">
      <w:pPr>
        <w:spacing w:after="120"/>
      </w:pPr>
      <w:r>
        <w:rPr>
          <w:b/>
          <w:bCs/>
        </w:rPr>
        <w:t xml:space="preserve">Importante: </w:t>
      </w:r>
      <w:r>
        <w:t>las agrupaciones, el caso propuesto para descartar y las verificaciones manuales son una propuesta de GreenSQA, construida a partir del texto de cada caso en Azure. No están escritas en los casos y requieren aprobación del equipo.</w:t>
      </w:r>
    </w:p>
    <w:p w14:paraId="05EE6B83" w14:textId="77777777" w:rsidR="007973DE" w:rsidRDefault="00000000">
      <w:pPr>
        <w:pStyle w:val="Ttulo1"/>
        <w:spacing w:before="280" w:after="120"/>
      </w:pPr>
      <w:r>
        <w:t>2. Cómo funciona la consolidación</w:t>
      </w:r>
    </w:p>
    <w:p w14:paraId="269F31AB" w14:textId="77777777" w:rsidR="007973DE" w:rsidRDefault="00000000">
      <w:pPr>
        <w:pStyle w:val="Prrafodelista"/>
        <w:numPr>
          <w:ilvl w:val="0"/>
          <w:numId w:val="2"/>
        </w:numPr>
        <w:spacing w:after="60"/>
      </w:pPr>
      <w:r>
        <w:rPr>
          <w:b/>
          <w:bCs/>
        </w:rPr>
        <w:t xml:space="preserve">Un escenario, varios </w:t>
      </w:r>
      <w:proofErr w:type="spellStart"/>
      <w:r>
        <w:rPr>
          <w:b/>
          <w:bCs/>
        </w:rPr>
        <w:t>IDs</w:t>
      </w:r>
      <w:proofErr w:type="spellEnd"/>
      <w:r>
        <w:rPr>
          <w:b/>
          <w:bCs/>
        </w:rPr>
        <w:t xml:space="preserve">: </w:t>
      </w:r>
      <w:r>
        <w:t xml:space="preserve">el escenario </w:t>
      </w:r>
      <w:proofErr w:type="spellStart"/>
      <w:r>
        <w:t>Gherkin</w:t>
      </w:r>
      <w:proofErr w:type="spellEnd"/>
      <w:r>
        <w:t xml:space="preserve"> lleva el tag de cada caso que cubre (por ejemplo @38498 @38502).</w:t>
      </w:r>
    </w:p>
    <w:p w14:paraId="444145FC" w14:textId="77777777" w:rsidR="007973DE" w:rsidRDefault="00000000">
      <w:pPr>
        <w:pStyle w:val="Prrafodelista"/>
        <w:numPr>
          <w:ilvl w:val="0"/>
          <w:numId w:val="2"/>
        </w:numPr>
        <w:spacing w:after="60"/>
      </w:pPr>
      <w:r>
        <w:rPr>
          <w:b/>
          <w:bCs/>
        </w:rPr>
        <w:t xml:space="preserve">Los datos están en el archivo de control: </w:t>
      </w:r>
      <w:r>
        <w:t>cada fila de Control_Ejecucion.xlsx indica el caso, el tipo de documento y el dato a usar. Así 38498 y 38502 son dos filas del mismo escenario, una con CC y otra con CE.</w:t>
      </w:r>
    </w:p>
    <w:p w14:paraId="1726BEB9" w14:textId="77777777" w:rsidR="007973DE" w:rsidRDefault="00000000">
      <w:pPr>
        <w:pStyle w:val="Prrafodelista"/>
        <w:numPr>
          <w:ilvl w:val="0"/>
          <w:numId w:val="2"/>
        </w:numPr>
        <w:spacing w:after="60"/>
      </w:pPr>
      <w:r>
        <w:rPr>
          <w:b/>
          <w:bCs/>
        </w:rPr>
        <w:t xml:space="preserve">El resultado se reporta por caso: </w:t>
      </w:r>
      <w:r>
        <w:t>cada fila del control queda con su ID de Azure en el reporte, por lo que la trazabilidad por caso se mantiene.</w:t>
      </w:r>
    </w:p>
    <w:p w14:paraId="446F8172" w14:textId="77777777" w:rsidR="007973DE" w:rsidRDefault="00000000">
      <w:pPr>
        <w:pStyle w:val="Prrafodelista"/>
        <w:numPr>
          <w:ilvl w:val="0"/>
          <w:numId w:val="2"/>
        </w:numPr>
        <w:spacing w:after="60"/>
      </w:pPr>
      <w:r>
        <w:rPr>
          <w:b/>
          <w:bCs/>
        </w:rPr>
        <w:t xml:space="preserve">En Azure DevOps no se eliminan los casos absorbidos: </w:t>
      </w:r>
      <w:r>
        <w:t>se recomienda conservarlos y marcarlos como "cubierto por la automatización del caso principal".</w:t>
      </w:r>
    </w:p>
    <w:p w14:paraId="37DC019A" w14:textId="77777777" w:rsidR="007C0C1C" w:rsidRDefault="007C0C1C">
      <w:pPr>
        <w:rPr>
          <w:b/>
          <w:bCs/>
          <w:color w:val="00843D"/>
          <w:sz w:val="28"/>
          <w:szCs w:val="28"/>
        </w:rPr>
      </w:pPr>
      <w:r>
        <w:br w:type="page"/>
      </w:r>
    </w:p>
    <w:p w14:paraId="04C5BBC6" w14:textId="12F764A0" w:rsidR="007973DE" w:rsidRDefault="00000000">
      <w:pPr>
        <w:pStyle w:val="Ttulo1"/>
        <w:spacing w:before="280" w:after="120"/>
      </w:pPr>
      <w:r>
        <w:lastRenderedPageBreak/>
        <w:t>3. Tabla de consolidación</w:t>
      </w:r>
    </w:p>
    <w:p w14:paraId="30C147BD" w14:textId="77777777" w:rsidR="007973DE" w:rsidRDefault="00000000">
      <w:pPr>
        <w:spacing w:after="120"/>
      </w:pPr>
      <w:r>
        <w:t>Casos automatizables y el escenario que los atiende: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1900"/>
        <w:gridCol w:w="2560"/>
        <w:gridCol w:w="1500"/>
      </w:tblGrid>
      <w:tr w:rsidR="007973DE" w14:paraId="00E1EDD7" w14:textId="77777777">
        <w:tblPrEx>
          <w:tblCellMar>
            <w:top w:w="0" w:type="dxa"/>
            <w:bottom w:w="0" w:type="dxa"/>
          </w:tblCellMar>
        </w:tblPrEx>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01E9E8F8" w14:textId="77777777" w:rsidR="007973DE" w:rsidRDefault="00000000">
            <w:r>
              <w:rPr>
                <w:b/>
                <w:bCs/>
                <w:color w:val="FFFFFF"/>
                <w:sz w:val="19"/>
                <w:szCs w:val="19"/>
              </w:rPr>
              <w:t>Escenario automatizado</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059B1444" w14:textId="77777777" w:rsidR="007973DE" w:rsidRDefault="00000000">
            <w:r>
              <w:rPr>
                <w:b/>
                <w:bCs/>
                <w:color w:val="FFFFFF"/>
                <w:sz w:val="19"/>
                <w:szCs w:val="19"/>
              </w:rPr>
              <w:t>Caso principal</w:t>
            </w:r>
          </w:p>
        </w:tc>
        <w:tc>
          <w:tcPr>
            <w:tcW w:w="19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29652197" w14:textId="77777777" w:rsidR="007973DE" w:rsidRDefault="00000000">
            <w:r>
              <w:rPr>
                <w:b/>
                <w:bCs/>
                <w:color w:val="FFFFFF"/>
                <w:sz w:val="19"/>
                <w:szCs w:val="19"/>
              </w:rPr>
              <w:t>Casos absorbidos</w:t>
            </w:r>
          </w:p>
        </w:tc>
        <w:tc>
          <w:tcPr>
            <w:tcW w:w="25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27C660C2" w14:textId="77777777" w:rsidR="007973DE" w:rsidRDefault="00000000">
            <w:r>
              <w:rPr>
                <w:b/>
                <w:bCs/>
                <w:color w:val="FFFFFF"/>
                <w:sz w:val="19"/>
                <w:szCs w:val="19"/>
              </w:rPr>
              <w:t>Qué varía entre ellos</w:t>
            </w:r>
          </w:p>
        </w:tc>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007AC4F0" w14:textId="77777777" w:rsidR="007973DE" w:rsidRDefault="00000000">
            <w:r>
              <w:rPr>
                <w:b/>
                <w:bCs/>
                <w:color w:val="FFFFFF"/>
                <w:sz w:val="19"/>
                <w:szCs w:val="19"/>
              </w:rPr>
              <w:t>Estado</w:t>
            </w:r>
          </w:p>
        </w:tc>
      </w:tr>
      <w:tr w:rsidR="007973DE" w14:paraId="42D3E550"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6E073D" w14:textId="77777777" w:rsidR="007973DE" w:rsidRDefault="00000000">
            <w:r>
              <w:rPr>
                <w:sz w:val="19"/>
                <w:szCs w:val="19"/>
              </w:rPr>
              <w:t>Registro exitoso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8B0B5" w14:textId="77777777" w:rsidR="007973DE" w:rsidRDefault="00000000">
            <w:r>
              <w:rPr>
                <w:sz w:val="19"/>
                <w:szCs w:val="19"/>
              </w:rPr>
              <w:t>38498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FFB47" w14:textId="77777777" w:rsidR="007973DE" w:rsidRDefault="00000000">
            <w:r>
              <w:rPr>
                <w:sz w:val="19"/>
                <w:szCs w:val="19"/>
              </w:rPr>
              <w:t>38502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79F72" w14:textId="77777777" w:rsidR="007973DE" w:rsidRDefault="00000000">
            <w:r>
              <w:rPr>
                <w:sz w:val="19"/>
                <w:szCs w:val="19"/>
              </w:rPr>
              <w:t>Tipo de documento, definido en el archivo de control</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CAB49" w14:textId="77777777" w:rsidR="007973DE" w:rsidRDefault="00000000">
            <w:r>
              <w:rPr>
                <w:sz w:val="19"/>
                <w:szCs w:val="19"/>
              </w:rPr>
              <w:t>Automatizado (CC). CE bloqueado por datos</w:t>
            </w:r>
          </w:p>
        </w:tc>
      </w:tr>
      <w:tr w:rsidR="007973DE" w14:paraId="768B09E3"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6110714" w14:textId="77777777" w:rsidR="007973DE" w:rsidRDefault="00000000">
            <w:r>
              <w:rPr>
                <w:sz w:val="19"/>
                <w:szCs w:val="19"/>
              </w:rPr>
              <w:t>Registro exitoso con envío de SMS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6495C03" w14:textId="77777777" w:rsidR="007973DE" w:rsidRDefault="00000000">
            <w:r>
              <w:rPr>
                <w:sz w:val="19"/>
                <w:szCs w:val="19"/>
              </w:rPr>
              <w:t>38499 (CC)</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75BBF73" w14:textId="77777777" w:rsidR="007973DE" w:rsidRDefault="00000000">
            <w:r>
              <w:rPr>
                <w:sz w:val="19"/>
                <w:szCs w:val="19"/>
              </w:rPr>
              <w:t>38503 (CE)</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5CC68E3" w14:textId="77777777" w:rsidR="007973DE" w:rsidRDefault="00000000">
            <w:r>
              <w:rPr>
                <w:sz w:val="19"/>
                <w:szCs w:val="19"/>
              </w:rPr>
              <w:t>Tipo de documento. Reutiliza los pasos del registro y agrega la verificación del SMS en un dispositivo real con la línea asignada al cliente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E0723B" w14:textId="77777777" w:rsidR="007973DE" w:rsidRDefault="00000000">
            <w:r>
              <w:rPr>
                <w:sz w:val="19"/>
                <w:szCs w:val="19"/>
              </w:rPr>
              <w:t>Pendiente (requiere línea asociada al cliente)</w:t>
            </w:r>
          </w:p>
        </w:tc>
      </w:tr>
      <w:tr w:rsidR="007973DE" w14:paraId="3B631CFC"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73C1B" w14:textId="77777777" w:rsidR="007973DE" w:rsidRDefault="00000000">
            <w:r>
              <w:rPr>
                <w:sz w:val="19"/>
                <w:szCs w:val="19"/>
              </w:rPr>
              <w:t>Login exitoso →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99AE59" w14:textId="77777777" w:rsidR="007973DE" w:rsidRDefault="00000000">
            <w:r>
              <w:rPr>
                <w:sz w:val="19"/>
                <w:szCs w:val="19"/>
              </w:rPr>
              <w:t>38519 (CC)</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C284AB" w14:textId="77777777" w:rsidR="007973DE" w:rsidRDefault="00000000">
            <w:r>
              <w:rPr>
                <w:sz w:val="19"/>
                <w:szCs w:val="19"/>
              </w:rPr>
              <w:t>38520 (CE)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686305" w14:textId="77777777" w:rsidR="007973DE" w:rsidRDefault="00000000">
            <w:r>
              <w:rPr>
                <w:sz w:val="19"/>
                <w:szCs w:val="19"/>
              </w:rPr>
              <w:t>Tipo de documento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AB9AEB" w14:textId="77777777" w:rsidR="007973DE" w:rsidRDefault="00000000">
            <w:r>
              <w:rPr>
                <w:sz w:val="19"/>
                <w:szCs w:val="19"/>
              </w:rPr>
              <w:t>Siguiente a construir</w:t>
            </w:r>
          </w:p>
        </w:tc>
      </w:tr>
      <w:tr w:rsidR="007973DE" w14:paraId="4A70B0A2"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5BD3E0" w14:textId="77777777" w:rsidR="007973DE" w:rsidRDefault="00000000">
            <w:r>
              <w:rPr>
                <w:sz w:val="19"/>
                <w:szCs w:val="19"/>
              </w:rPr>
              <w:t>Recuperación de clave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1DC1A88" w14:textId="77777777" w:rsidR="007973DE" w:rsidRDefault="00000000">
            <w:r>
              <w:rPr>
                <w:sz w:val="19"/>
                <w:szCs w:val="19"/>
              </w:rPr>
              <w:t>38529</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F2AB4C" w14:textId="77777777" w:rsidR="007973DE" w:rsidRDefault="00000000">
            <w:r>
              <w:rPr>
                <w:sz w:val="19"/>
                <w:szCs w:val="19"/>
              </w:rPr>
              <w:t>38526</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A25EEB" w14:textId="77777777" w:rsidR="007973DE" w:rsidRDefault="00000000">
            <w:r>
              <w:rPr>
                <w:sz w:val="19"/>
                <w:szCs w:val="19"/>
              </w:rPr>
              <w:t>El flujo de 38529 pasa por la validación OTP de 38526; ese punto se verifica dentro del mismo escenario</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320552E" w14:textId="77777777" w:rsidR="007973DE" w:rsidRDefault="00000000">
            <w:r>
              <w:rPr>
                <w:sz w:val="19"/>
                <w:szCs w:val="19"/>
              </w:rPr>
              <w:t>Pendiente</w:t>
            </w:r>
          </w:p>
        </w:tc>
      </w:tr>
      <w:tr w:rsidR="007973DE" w14:paraId="5131503B"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351868" w14:textId="77777777" w:rsidR="007973DE" w:rsidRDefault="00000000">
            <w:r>
              <w:rPr>
                <w:sz w:val="19"/>
                <w:szCs w:val="19"/>
              </w:rPr>
              <w:t>Encabezado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F63AA6" w14:textId="77777777" w:rsidR="007973DE" w:rsidRDefault="00000000">
            <w:r>
              <w:rPr>
                <w:sz w:val="19"/>
                <w:szCs w:val="19"/>
              </w:rPr>
              <w:t>38700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34EF95" w14:textId="77777777" w:rsidR="007973DE" w:rsidRDefault="00000000">
            <w:r>
              <w:rPr>
                <w:sz w:val="19"/>
                <w:szCs w:val="19"/>
              </w:rPr>
              <w:t>38699</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81BF2" w14:textId="77777777" w:rsidR="007973DE" w:rsidRDefault="00000000">
            <w:r>
              <w:rPr>
                <w:sz w:val="19"/>
                <w:szCs w:val="19"/>
              </w:rPr>
              <w:t>Los pasos 1 a 5 de 38700 son los mismos de 38699; 38700 agrega la fecha de último ingreso</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B4CD36" w14:textId="77777777" w:rsidR="007973DE" w:rsidRDefault="00000000">
            <w:r>
              <w:rPr>
                <w:sz w:val="19"/>
                <w:szCs w:val="19"/>
              </w:rPr>
              <w:t>Pendiente</w:t>
            </w:r>
          </w:p>
        </w:tc>
      </w:tr>
      <w:tr w:rsidR="007973DE" w14:paraId="5FFB6CB8"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BDFC970" w14:textId="77777777" w:rsidR="007973DE" w:rsidRDefault="00000000">
            <w:r>
              <w:rPr>
                <w:sz w:val="19"/>
                <w:szCs w:val="19"/>
              </w:rPr>
              <w:t>Accesos directos del Home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33FBE02" w14:textId="77777777" w:rsidR="007973DE" w:rsidRDefault="00000000">
            <w:r>
              <w:rPr>
                <w:sz w:val="19"/>
                <w:szCs w:val="19"/>
              </w:rPr>
              <w:t>38703</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F6910FE" w14:textId="77777777" w:rsidR="007973DE" w:rsidRDefault="00000000">
            <w:r>
              <w:rPr>
                <w:sz w:val="19"/>
                <w:szCs w:val="19"/>
              </w:rPr>
              <w:t>38704</w:t>
            </w:r>
          </w:p>
          <w:p w14:paraId="3CBDB7F1" w14:textId="77777777" w:rsidR="007973DE" w:rsidRDefault="00000000">
            <w:r>
              <w:rPr>
                <w:sz w:val="19"/>
                <w:szCs w:val="19"/>
              </w:rPr>
              <w:t>38711</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54676F6" w14:textId="77777777" w:rsidR="007973DE" w:rsidRDefault="00000000">
            <w:proofErr w:type="gramStart"/>
            <w:r>
              <w:rPr>
                <w:sz w:val="19"/>
                <w:szCs w:val="19"/>
              </w:rPr>
              <w:t>Acceso a validar</w:t>
            </w:r>
            <w:proofErr w:type="gramEnd"/>
            <w:r>
              <w:rPr>
                <w:sz w:val="19"/>
                <w:szCs w:val="19"/>
              </w:rPr>
              <w:t xml:space="preserve"> (Bre-B, Pedir crédito) y menú (superior o inferior)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B4E901D" w14:textId="77777777" w:rsidR="007973DE" w:rsidRDefault="00000000">
            <w:r>
              <w:rPr>
                <w:sz w:val="19"/>
                <w:szCs w:val="19"/>
              </w:rPr>
              <w:t>Pendiente</w:t>
            </w:r>
          </w:p>
        </w:tc>
      </w:tr>
      <w:tr w:rsidR="007973DE" w14:paraId="5061EF53"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86B3EC" w14:textId="77777777" w:rsidR="007973DE" w:rsidRDefault="00000000">
            <w:r>
              <w:rPr>
                <w:sz w:val="19"/>
                <w:szCs w:val="19"/>
              </w:rPr>
              <w:t>Productos del cliente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B13FDA" w14:textId="77777777" w:rsidR="007973DE" w:rsidRDefault="00000000">
            <w:r>
              <w:rPr>
                <w:sz w:val="19"/>
                <w:szCs w:val="19"/>
              </w:rPr>
              <w:t>38705 (ahorro)</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EB3CDF" w14:textId="77777777" w:rsidR="007973DE" w:rsidRDefault="00000000">
            <w:r>
              <w:rPr>
                <w:sz w:val="19"/>
                <w:szCs w:val="19"/>
              </w:rPr>
              <w:t>38706 (corriente)</w:t>
            </w:r>
          </w:p>
          <w:p w14:paraId="2E8B3D6F" w14:textId="77777777" w:rsidR="007973DE" w:rsidRDefault="00000000">
            <w:r>
              <w:rPr>
                <w:sz w:val="19"/>
                <w:szCs w:val="19"/>
              </w:rPr>
              <w:t>38707 (libre inversión)</w:t>
            </w:r>
          </w:p>
          <w:p w14:paraId="2EC0A012" w14:textId="77777777" w:rsidR="007973DE" w:rsidRDefault="00000000">
            <w:r>
              <w:rPr>
                <w:sz w:val="19"/>
                <w:szCs w:val="19"/>
              </w:rPr>
              <w:t>38708 (rotativo)</w:t>
            </w:r>
          </w:p>
          <w:p w14:paraId="2EC996BA" w14:textId="77777777" w:rsidR="007973DE" w:rsidRDefault="00000000">
            <w:r>
              <w:rPr>
                <w:sz w:val="19"/>
                <w:szCs w:val="19"/>
              </w:rPr>
              <w:t>38702 (</w:t>
            </w:r>
            <w:proofErr w:type="gramStart"/>
            <w:r>
              <w:rPr>
                <w:sz w:val="19"/>
                <w:szCs w:val="19"/>
              </w:rPr>
              <w:t>pre aprobado</w:t>
            </w:r>
            <w:proofErr w:type="gramEnd"/>
            <w:r>
              <w:rPr>
                <w:sz w:val="19"/>
                <w:szCs w:val="19"/>
              </w:rPr>
              <w:t>)</w:t>
            </w:r>
          </w:p>
          <w:p w14:paraId="06A81C4A" w14:textId="77777777" w:rsidR="007973DE" w:rsidRDefault="00000000">
            <w:r>
              <w:rPr>
                <w:sz w:val="19"/>
                <w:szCs w:val="19"/>
              </w:rPr>
              <w:t>38709 (saldos)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1F7A1" w14:textId="77777777" w:rsidR="007973DE" w:rsidRDefault="00000000">
            <w:r>
              <w:rPr>
                <w:sz w:val="19"/>
                <w:szCs w:val="19"/>
              </w:rPr>
              <w:t>Tipo de producto; requiere un cliente que tenga ese producto. 38709 valida los saldos de esas mismas tarjetas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5D6E5" w14:textId="77777777" w:rsidR="007973DE" w:rsidRDefault="00000000">
            <w:r>
              <w:rPr>
                <w:sz w:val="19"/>
                <w:szCs w:val="19"/>
              </w:rPr>
              <w:t>Pendiente</w:t>
            </w:r>
          </w:p>
        </w:tc>
      </w:tr>
      <w:tr w:rsidR="007973DE" w14:paraId="66B336DF"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8271EB7" w14:textId="77777777" w:rsidR="007973DE" w:rsidRDefault="00000000">
            <w:r>
              <w:rPr>
                <w:sz w:val="19"/>
                <w:szCs w:val="19"/>
              </w:rPr>
              <w:t>Banner "Exclusivo para ti"</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FD22AF8" w14:textId="77777777" w:rsidR="007973DE" w:rsidRDefault="00000000">
            <w:r>
              <w:rPr>
                <w:sz w:val="19"/>
                <w:szCs w:val="19"/>
              </w:rPr>
              <w:t>38710</w:t>
            </w:r>
          </w:p>
        </w:tc>
        <w:tc>
          <w:tcPr>
            <w:tcW w:w="19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CC759C9" w14:textId="77777777" w:rsidR="007973DE" w:rsidRDefault="00000000">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6CC713A" w14:textId="77777777" w:rsidR="007973DE" w:rsidRDefault="00000000">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C2085A0" w14:textId="77777777" w:rsidR="007973DE" w:rsidRDefault="00000000">
            <w:r>
              <w:rPr>
                <w:sz w:val="19"/>
                <w:szCs w:val="19"/>
              </w:rPr>
              <w:t>Pendiente</w:t>
            </w:r>
          </w:p>
        </w:tc>
      </w:tr>
      <w:tr w:rsidR="007973DE" w14:paraId="32127919" w14:textId="77777777">
        <w:tblPrEx>
          <w:tblCellMar>
            <w:top w:w="0" w:type="dxa"/>
            <w:bottom w:w="0" w:type="dxa"/>
          </w:tblCellMar>
        </w:tblPrEx>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CEA7F" w14:textId="77777777" w:rsidR="007973DE" w:rsidRDefault="00000000">
            <w:proofErr w:type="spellStart"/>
            <w:r>
              <w:rPr>
                <w:sz w:val="19"/>
                <w:szCs w:val="19"/>
              </w:rPr>
              <w:t>Skeleton</w:t>
            </w:r>
            <w:proofErr w:type="spellEnd"/>
            <w:r>
              <w:rPr>
                <w:sz w:val="19"/>
                <w:szCs w:val="19"/>
              </w:rPr>
              <w:t xml:space="preserve"> de carga del Home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CC9AE" w14:textId="77777777" w:rsidR="007973DE" w:rsidRDefault="00000000">
            <w:r>
              <w:rPr>
                <w:sz w:val="19"/>
                <w:szCs w:val="19"/>
              </w:rPr>
              <w:t>38698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61CCE2" w14:textId="77777777" w:rsidR="007973DE" w:rsidRDefault="00000000">
            <w:r>
              <w:rPr>
                <w:sz w:val="19"/>
                <w:szCs w:val="19"/>
              </w:rPr>
              <w:t>—</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DEE89" w14:textId="77777777" w:rsidR="007973DE" w:rsidRDefault="00000000">
            <w:r>
              <w:rPr>
                <w:sz w:val="19"/>
                <w:szCs w:val="19"/>
              </w:rPr>
              <w: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B50876" w14:textId="77777777" w:rsidR="007973DE" w:rsidRDefault="00000000">
            <w:r>
              <w:rPr>
                <w:sz w:val="19"/>
                <w:szCs w:val="19"/>
              </w:rPr>
              <w:t>Pendiente (ver sección 6)</w:t>
            </w:r>
          </w:p>
        </w:tc>
      </w:tr>
    </w:tbl>
    <w:p w14:paraId="09BC9305" w14:textId="77777777" w:rsidR="007973DE" w:rsidRDefault="007973DE">
      <w:pPr>
        <w:spacing w:after="60"/>
      </w:pPr>
    </w:p>
    <w:p w14:paraId="52A680C9" w14:textId="77777777" w:rsidR="007C0C1C" w:rsidRDefault="007C0C1C">
      <w:pPr>
        <w:rPr>
          <w:b/>
          <w:bCs/>
          <w:color w:val="00843D"/>
          <w:sz w:val="28"/>
          <w:szCs w:val="28"/>
        </w:rPr>
      </w:pPr>
      <w:r>
        <w:br w:type="page"/>
      </w:r>
    </w:p>
    <w:p w14:paraId="2260DF9D" w14:textId="0E36429F" w:rsidR="007973DE" w:rsidRDefault="00000000">
      <w:pPr>
        <w:pStyle w:val="Ttulo1"/>
        <w:spacing w:before="280" w:after="120"/>
      </w:pPr>
      <w:r>
        <w:lastRenderedPageBreak/>
        <w:t>4. Caso propuesto para descartar (pendiente de aprobación)</w:t>
      </w:r>
    </w:p>
    <w:p w14:paraId="796F57BC" w14:textId="77777777" w:rsidR="007973DE" w:rsidRDefault="00000000">
      <w:pPr>
        <w:spacing w:after="120"/>
      </w:pPr>
      <w:r>
        <w:rPr>
          <w:b/>
          <w:bCs/>
        </w:rPr>
        <w:t xml:space="preserve">38701 – Visualización de componentes de la pantalla. </w:t>
      </w:r>
      <w:r>
        <w:t>Recomendación de GreenSQA, a partir de su texto en Azure:</w:t>
      </w:r>
    </w:p>
    <w:p w14:paraId="3F85AEFF" w14:textId="77777777" w:rsidR="007973DE" w:rsidRDefault="00000000">
      <w:pPr>
        <w:pStyle w:val="Prrafodelista"/>
        <w:numPr>
          <w:ilvl w:val="0"/>
          <w:numId w:val="2"/>
        </w:numPr>
        <w:spacing w:after="60"/>
      </w:pPr>
      <w:r>
        <w:rPr>
          <w:b/>
          <w:bCs/>
        </w:rPr>
        <w:t xml:space="preserve">Título genérico: </w:t>
      </w:r>
      <w:r>
        <w:t>no indica qué componentes se validan.</w:t>
      </w:r>
    </w:p>
    <w:p w14:paraId="06975577" w14:textId="77777777" w:rsidR="007973DE" w:rsidRDefault="00000000">
      <w:pPr>
        <w:pStyle w:val="Prrafodelista"/>
        <w:numPr>
          <w:ilvl w:val="0"/>
          <w:numId w:val="2"/>
        </w:numPr>
        <w:spacing w:after="60"/>
      </w:pPr>
      <w:r>
        <w:rPr>
          <w:b/>
          <w:bCs/>
        </w:rPr>
        <w:t xml:space="preserve">Pasos genéricos: </w:t>
      </w:r>
      <w:r>
        <w:t>"Validar que la pantalla, opción o componente requerido se encuentre disponible y habilitado" y "Validar los textos, componentes, datos y estados visuales mostrados", sin nombrar ningún elemento.</w:t>
      </w:r>
    </w:p>
    <w:p w14:paraId="76B66E20" w14:textId="77777777" w:rsidR="007973DE" w:rsidRDefault="00000000">
      <w:pPr>
        <w:pStyle w:val="Prrafodelista"/>
        <w:numPr>
          <w:ilvl w:val="0"/>
          <w:numId w:val="2"/>
        </w:numPr>
        <w:spacing w:after="60"/>
      </w:pPr>
      <w:r>
        <w:rPr>
          <w:b/>
          <w:bCs/>
        </w:rPr>
        <w:t xml:space="preserve">Precondición de otra pantalla: </w:t>
      </w:r>
      <w:r>
        <w:t xml:space="preserve">"usuario ingresa a la </w:t>
      </w:r>
      <w:proofErr w:type="gramStart"/>
      <w:r>
        <w:t>app</w:t>
      </w:r>
      <w:proofErr w:type="gramEnd"/>
      <w:r>
        <w:t xml:space="preserve"> y visualiza formulario de </w:t>
      </w:r>
      <w:proofErr w:type="spellStart"/>
      <w:r>
        <w:t>logueo</w:t>
      </w:r>
      <w:proofErr w:type="spellEnd"/>
      <w:r>
        <w:t>", que corresponde al login y no al Home.</w:t>
      </w:r>
    </w:p>
    <w:p w14:paraId="4FABAECB" w14:textId="77777777" w:rsidR="007973DE" w:rsidRDefault="00000000">
      <w:pPr>
        <w:spacing w:after="120"/>
      </w:pPr>
      <w:r>
        <w:t>Cada componente del Home ya tiene su propio caso: saludo (38699), último ingreso (38700), accesos (38703, 38704, 38711) y productos (38705 a 38708). Por eso se propone cerrarlo como cubierto por esos casos. Si el equipo le asigna un alcance concreto, se automatiza.</w:t>
      </w:r>
    </w:p>
    <w:p w14:paraId="085D949D" w14:textId="77777777" w:rsidR="007973DE" w:rsidRDefault="00000000">
      <w:pPr>
        <w:pStyle w:val="Ttulo1"/>
        <w:spacing w:before="280" w:after="120"/>
      </w:pPr>
      <w:r>
        <w:t>5. Casos fuera de alcance por ahora</w:t>
      </w:r>
    </w:p>
    <w:p w14:paraId="091B0FF9" w14:textId="77777777" w:rsidR="007973DE" w:rsidRDefault="00000000">
      <w:pPr>
        <w:spacing w:after="120"/>
      </w:pPr>
      <w:r>
        <w:t>Los casos de logs quedan excluidos de esta etapa por decisión del proyecto, porque requieren acceso al servicio de logs: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7973DE" w14:paraId="4E0E915D" w14:textId="77777777">
        <w:tblPrEx>
          <w:tblCellMar>
            <w:top w:w="0" w:type="dxa"/>
            <w:bottom w:w="0" w:type="dxa"/>
          </w:tblCellMar>
        </w:tblPrEx>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6E407B20" w14:textId="77777777" w:rsidR="007973DE" w:rsidRDefault="00000000">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3AC07941" w14:textId="77777777" w:rsidR="007973DE" w:rsidRDefault="00000000">
            <w:r>
              <w:rPr>
                <w:b/>
                <w:bCs/>
                <w:color w:val="FFFFFF"/>
                <w:sz w:val="19"/>
                <w:szCs w:val="19"/>
              </w:rPr>
              <w:t>Título resumido</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04F88B8F" w14:textId="77777777" w:rsidR="007973DE" w:rsidRDefault="00000000">
            <w:r>
              <w:rPr>
                <w:b/>
                <w:bCs/>
                <w:color w:val="FFFFFF"/>
                <w:sz w:val="19"/>
                <w:szCs w:val="19"/>
              </w:rPr>
              <w:t>Motivo</w:t>
            </w:r>
          </w:p>
        </w:tc>
      </w:tr>
      <w:tr w:rsidR="007973DE" w14:paraId="04A80986"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EB8144" w14:textId="77777777" w:rsidR="007973DE" w:rsidRDefault="00000000">
            <w:r>
              <w:rPr>
                <w:sz w:val="19"/>
                <w:szCs w:val="19"/>
              </w:rPr>
              <w:t>38500</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CAD76F" w14:textId="77777777" w:rsidR="007973DE" w:rsidRDefault="00000000">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78CFA" w14:textId="77777777" w:rsidR="007973DE" w:rsidRDefault="00000000">
            <w:r>
              <w:rPr>
                <w:sz w:val="19"/>
                <w:szCs w:val="19"/>
              </w:rPr>
              <w:t>Fuera por ahora: requiere acceso al servicio de logs</w:t>
            </w:r>
          </w:p>
        </w:tc>
      </w:tr>
      <w:tr w:rsidR="007973DE" w14:paraId="348E339D"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D81FDB8" w14:textId="77777777" w:rsidR="007973DE" w:rsidRDefault="00000000">
            <w:r>
              <w:rPr>
                <w:sz w:val="19"/>
                <w:szCs w:val="19"/>
              </w:rPr>
              <w:t>38504</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3EEF63D8" w14:textId="77777777" w:rsidR="007973DE" w:rsidRDefault="00000000">
            <w:r>
              <w:rPr>
                <w:sz w:val="19"/>
                <w:szCs w:val="19"/>
              </w:rPr>
              <w:t>Log por registro exitoso</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0D633CF" w14:textId="77777777" w:rsidR="007973DE" w:rsidRDefault="00000000">
            <w:r>
              <w:rPr>
                <w:sz w:val="19"/>
                <w:szCs w:val="19"/>
              </w:rPr>
              <w:t>Fuera por ahora. Por la secuencia 38502/38503/38504 parece la variante CE de 38500, aunque su texto no menciona CE; conviene corregir el título en Azure</w:t>
            </w:r>
          </w:p>
        </w:tc>
      </w:tr>
      <w:tr w:rsidR="007973DE" w14:paraId="3C4481CF"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5ED657" w14:textId="77777777" w:rsidR="007973DE" w:rsidRDefault="00000000">
            <w:r>
              <w:rPr>
                <w:sz w:val="19"/>
                <w:szCs w:val="19"/>
              </w:rPr>
              <w:t>38521</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51B7D0" w14:textId="77777777" w:rsidR="007973DE" w:rsidRDefault="00000000">
            <w:r>
              <w:rPr>
                <w:sz w:val="19"/>
                <w:szCs w:val="19"/>
              </w:rPr>
              <w:t>Login exitoso genera log (servicio ID 6)</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56D73" w14:textId="77777777" w:rsidR="007973DE" w:rsidRDefault="00000000">
            <w:r>
              <w:rPr>
                <w:sz w:val="19"/>
                <w:szCs w:val="19"/>
              </w:rPr>
              <w:t>Fuera por ahora: requiere acceso al servicio de logs</w:t>
            </w:r>
          </w:p>
        </w:tc>
      </w:tr>
    </w:tbl>
    <w:p w14:paraId="2B34C269" w14:textId="77777777" w:rsidR="007973DE" w:rsidRDefault="007973DE">
      <w:pPr>
        <w:spacing w:after="60"/>
      </w:pPr>
    </w:p>
    <w:p w14:paraId="2212F250" w14:textId="77777777" w:rsidR="007973DE" w:rsidRDefault="00000000">
      <w:pPr>
        <w:pStyle w:val="Ttulo1"/>
        <w:spacing w:before="280" w:after="120"/>
      </w:pPr>
      <w:r>
        <w:t>6. Verificaciones que requieren acceso o revisión manual</w:t>
      </w:r>
    </w:p>
    <w:p w14:paraId="4BE6BB6E" w14:textId="77777777" w:rsidR="007973DE" w:rsidRDefault="00000000">
      <w:pPr>
        <w:spacing w:after="120"/>
      </w:pPr>
      <w:r>
        <w:t>Estos casos sí se automatizan. Solo la verificación puntual que se cita, tomada del texto del caso en Azure, no se puede hacer con la automatización por UI con los accesos actuales: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200"/>
        <w:gridCol w:w="4660"/>
      </w:tblGrid>
      <w:tr w:rsidR="007973DE" w14:paraId="43D7525A" w14:textId="77777777">
        <w:tblPrEx>
          <w:tblCellMar>
            <w:top w:w="0" w:type="dxa"/>
            <w:bottom w:w="0" w:type="dxa"/>
          </w:tblCellMar>
        </w:tblPrEx>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6DB15907" w14:textId="77777777" w:rsidR="007973DE" w:rsidRDefault="00000000">
            <w:r>
              <w:rPr>
                <w:b/>
                <w:bCs/>
                <w:color w:val="FFFFFF"/>
                <w:sz w:val="19"/>
                <w:szCs w:val="19"/>
              </w:rPr>
              <w:t>Caso</w:t>
            </w:r>
          </w:p>
        </w:tc>
        <w:tc>
          <w:tcPr>
            <w:tcW w:w="32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47B15B3A" w14:textId="77777777" w:rsidR="007973DE" w:rsidRDefault="00000000">
            <w:r>
              <w:rPr>
                <w:b/>
                <w:bCs/>
                <w:color w:val="FFFFFF"/>
                <w:sz w:val="19"/>
                <w:szCs w:val="19"/>
              </w:rPr>
              <w:t>Lo que pide el caso en Azure</w:t>
            </w:r>
          </w:p>
        </w:tc>
        <w:tc>
          <w:tcPr>
            <w:tcW w:w="46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7A05994F" w14:textId="77777777" w:rsidR="007973DE" w:rsidRDefault="00000000">
            <w:r>
              <w:rPr>
                <w:b/>
                <w:bCs/>
                <w:color w:val="FFFFFF"/>
                <w:sz w:val="19"/>
                <w:szCs w:val="19"/>
              </w:rPr>
              <w:t>Tratamiento propuesto</w:t>
            </w:r>
          </w:p>
        </w:tc>
      </w:tr>
      <w:tr w:rsidR="007973DE" w14:paraId="7A5716DD"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7F1AD7" w14:textId="77777777" w:rsidR="007973DE" w:rsidRDefault="00000000">
            <w:r>
              <w:rPr>
                <w:sz w:val="19"/>
                <w:szCs w:val="19"/>
              </w:rPr>
              <w:t>38703, 38704</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358345" w14:textId="77777777" w:rsidR="007973DE" w:rsidRDefault="00000000">
            <w:r>
              <w:rPr>
                <w:sz w:val="19"/>
                <w:szCs w:val="19"/>
              </w:rPr>
              <w:t>Paso 5: "Verificar la identidad visual de la pantalla (fuentes, colores y logotipo) en comparación con el documento de diseño de interfaz (UI)"</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9CDC0" w14:textId="77777777" w:rsidR="007973DE" w:rsidRDefault="00000000">
            <w:r>
              <w:rPr>
                <w:sz w:val="19"/>
                <w:szCs w:val="19"/>
              </w:rPr>
              <w:t xml:space="preserve">Sin el documento de diseño ni herramienta de pruebas visuales, esa comparación queda manual. La automatización valida que el acceso </w:t>
            </w:r>
            <w:proofErr w:type="gramStart"/>
            <w:r>
              <w:rPr>
                <w:sz w:val="19"/>
                <w:szCs w:val="19"/>
              </w:rPr>
              <w:t>exista,</w:t>
            </w:r>
            <w:proofErr w:type="gramEnd"/>
            <w:r>
              <w:rPr>
                <w:sz w:val="19"/>
                <w:szCs w:val="19"/>
              </w:rPr>
              <w:t xml:space="preserve"> esté </w:t>
            </w:r>
            <w:proofErr w:type="gramStart"/>
            <w:r>
              <w:rPr>
                <w:sz w:val="19"/>
                <w:szCs w:val="19"/>
              </w:rPr>
              <w:t>habilitado</w:t>
            </w:r>
            <w:proofErr w:type="gramEnd"/>
            <w:r>
              <w:rPr>
                <w:sz w:val="19"/>
                <w:szCs w:val="19"/>
              </w:rPr>
              <w:t xml:space="preserve"> y responda</w:t>
            </w:r>
          </w:p>
        </w:tc>
      </w:tr>
      <w:tr w:rsidR="007973DE" w14:paraId="688A133F"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A150D80" w14:textId="77777777" w:rsidR="007973DE" w:rsidRDefault="00000000">
            <w:r>
              <w:rPr>
                <w:sz w:val="19"/>
                <w:szCs w:val="19"/>
              </w:rPr>
              <w:t>38702</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4B3D306" w14:textId="77777777" w:rsidR="007973DE" w:rsidRDefault="00000000">
            <w:r>
              <w:rPr>
                <w:sz w:val="19"/>
                <w:szCs w:val="19"/>
              </w:rPr>
              <w:t xml:space="preserve">Paso 6: "validar que el crédito que muestra con el cliente exista y este correcto en la </w:t>
            </w:r>
            <w:proofErr w:type="spellStart"/>
            <w:r>
              <w:rPr>
                <w:sz w:val="19"/>
                <w:szCs w:val="19"/>
              </w:rPr>
              <w:t>bd</w:t>
            </w:r>
            <w:proofErr w:type="spellEnd"/>
            <w:r>
              <w:rPr>
                <w:sz w:val="19"/>
                <w:szCs w:val="19"/>
              </w:rPr>
              <w:t>"</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1B359D5" w14:textId="77777777" w:rsidR="007973DE" w:rsidRDefault="00000000">
            <w:r>
              <w:rPr>
                <w:sz w:val="19"/>
                <w:szCs w:val="19"/>
              </w:rPr>
              <w:t>Sin acceso a la base de datos solo se valida presencia y formato; la verificación en BD queda manual o pendiente de acceso</w:t>
            </w:r>
          </w:p>
        </w:tc>
      </w:tr>
      <w:tr w:rsidR="007973DE" w14:paraId="4432012D"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11540C" w14:textId="77777777" w:rsidR="007973DE" w:rsidRDefault="00000000">
            <w:r>
              <w:rPr>
                <w:sz w:val="19"/>
                <w:szCs w:val="19"/>
              </w:rPr>
              <w:t>38709</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D20302" w14:textId="77777777" w:rsidR="007973DE" w:rsidRDefault="00000000">
            <w:r>
              <w:rPr>
                <w:sz w:val="19"/>
                <w:szCs w:val="19"/>
              </w:rPr>
              <w:t xml:space="preserve">Paso 4: "Validar que los saldos y estados de cada producto financiero correspondan a la información real del cliente" (según el diseño y el </w:t>
            </w:r>
            <w:proofErr w:type="spellStart"/>
            <w:r>
              <w:rPr>
                <w:sz w:val="19"/>
                <w:szCs w:val="19"/>
              </w:rPr>
              <w:t>backend</w:t>
            </w:r>
            <w:proofErr w:type="spellEnd"/>
            <w:r>
              <w:rPr>
                <w:sz w:val="19"/>
                <w:szCs w:val="19"/>
              </w:rPr>
              <w:t>)</w:t>
            </w:r>
          </w:p>
        </w:tc>
        <w:tc>
          <w:tcPr>
            <w:tcW w:w="46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CA5BD6" w14:textId="77777777" w:rsidR="007973DE" w:rsidRDefault="00000000">
            <w:r>
              <w:rPr>
                <w:sz w:val="19"/>
                <w:szCs w:val="19"/>
              </w:rPr>
              <w:t>Igual que 38702. La sábana de cartera es una foto del 23/09/2026 y no sirve como referencia de saldos</w:t>
            </w:r>
          </w:p>
        </w:tc>
      </w:tr>
      <w:tr w:rsidR="007973DE" w14:paraId="455DDDD0" w14:textId="77777777">
        <w:tblPrEx>
          <w:tblCellMar>
            <w:top w:w="0" w:type="dxa"/>
            <w:bottom w:w="0" w:type="dxa"/>
          </w:tblCellMar>
        </w:tblPrEx>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4D63EC6B" w14:textId="77777777" w:rsidR="007973DE" w:rsidRDefault="00000000">
            <w:r>
              <w:rPr>
                <w:sz w:val="19"/>
                <w:szCs w:val="19"/>
              </w:rPr>
              <w:t>38698</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D71B33E" w14:textId="77777777" w:rsidR="007973DE" w:rsidRDefault="00000000">
            <w:r>
              <w:rPr>
                <w:sz w:val="19"/>
                <w:szCs w:val="19"/>
              </w:rPr>
              <w:t xml:space="preserve">Resultado 6: "Se visualizan </w:t>
            </w:r>
            <w:proofErr w:type="spellStart"/>
            <w:r>
              <w:rPr>
                <w:sz w:val="19"/>
                <w:szCs w:val="19"/>
              </w:rPr>
              <w:t>skeletons</w:t>
            </w:r>
            <w:proofErr w:type="spellEnd"/>
            <w:r>
              <w:rPr>
                <w:sz w:val="19"/>
                <w:szCs w:val="19"/>
              </w:rPr>
              <w:t xml:space="preserve"> (marcadores de carga)" mientras se obtienen los saldos</w:t>
            </w:r>
          </w:p>
        </w:tc>
        <w:tc>
          <w:tcPr>
            <w:tcW w:w="46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DF61A5A" w14:textId="77777777" w:rsidR="007973DE" w:rsidRDefault="00000000">
            <w:r>
              <w:rPr>
                <w:sz w:val="19"/>
                <w:szCs w:val="19"/>
              </w:rPr>
              <w:t xml:space="preserve">Criterio técnico de GreenSQA: el </w:t>
            </w:r>
            <w:proofErr w:type="spellStart"/>
            <w:r>
              <w:rPr>
                <w:sz w:val="19"/>
                <w:szCs w:val="19"/>
              </w:rPr>
              <w:t>skeleton</w:t>
            </w:r>
            <w:proofErr w:type="spellEnd"/>
            <w:r>
              <w:rPr>
                <w:sz w:val="19"/>
                <w:szCs w:val="19"/>
              </w:rPr>
              <w:t xml:space="preserve"> dura fracciones de segundo y depende de la red; capturarlo sería inestable. Se recomienda verificarlo manualmente</w:t>
            </w:r>
          </w:p>
        </w:tc>
      </w:tr>
    </w:tbl>
    <w:p w14:paraId="3D135CB7" w14:textId="77777777" w:rsidR="007973DE" w:rsidRDefault="007973DE">
      <w:pPr>
        <w:spacing w:after="60"/>
      </w:pPr>
    </w:p>
    <w:p w14:paraId="2AD89E64" w14:textId="77777777" w:rsidR="007973DE" w:rsidRDefault="00000000">
      <w:pPr>
        <w:pStyle w:val="Ttulo1"/>
        <w:spacing w:before="280" w:after="120"/>
      </w:pPr>
      <w:r>
        <w:lastRenderedPageBreak/>
        <w:t>7. Resumen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7973DE" w14:paraId="5C037144" w14:textId="77777777">
        <w:tblPrEx>
          <w:tblCellMar>
            <w:top w:w="0" w:type="dxa"/>
            <w:bottom w:w="0" w:type="dxa"/>
          </w:tblCellMar>
        </w:tblPrEx>
        <w:trPr>
          <w:tblHeader/>
        </w:trPr>
        <w:tc>
          <w:tcPr>
            <w:tcW w:w="636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534127DC" w14:textId="77777777" w:rsidR="007973DE" w:rsidRDefault="00000000">
            <w:r>
              <w:rPr>
                <w:b/>
                <w:bCs/>
                <w:color w:val="FFFFFF"/>
                <w:sz w:val="19"/>
                <w:szCs w:val="19"/>
              </w:rPr>
              <w:t>Concepto</w:t>
            </w:r>
          </w:p>
        </w:tc>
        <w:tc>
          <w:tcPr>
            <w:tcW w:w="3000" w:type="dxa"/>
            <w:tcBorders>
              <w:top w:val="single" w:sz="4" w:space="0" w:color="BFBFBF"/>
              <w:left w:val="single" w:sz="4" w:space="0" w:color="BFBFBF"/>
              <w:bottom w:val="single" w:sz="4" w:space="0" w:color="BFBFBF"/>
              <w:right w:val="single" w:sz="4" w:space="0" w:color="BFBFBF"/>
            </w:tcBorders>
            <w:shd w:val="clear" w:color="auto" w:fill="00843D"/>
            <w:tcMar>
              <w:top w:w="60" w:type="dxa"/>
              <w:left w:w="100" w:type="dxa"/>
              <w:bottom w:w="60" w:type="dxa"/>
              <w:right w:w="100" w:type="dxa"/>
            </w:tcMar>
          </w:tcPr>
          <w:p w14:paraId="05A31258" w14:textId="77777777" w:rsidR="007973DE" w:rsidRDefault="00000000">
            <w:r>
              <w:rPr>
                <w:b/>
                <w:bCs/>
                <w:color w:val="FFFFFF"/>
                <w:sz w:val="19"/>
                <w:szCs w:val="19"/>
              </w:rPr>
              <w:t>Cantidad</w:t>
            </w:r>
          </w:p>
        </w:tc>
      </w:tr>
      <w:tr w:rsidR="007973DE" w14:paraId="04E9692C" w14:textId="77777777">
        <w:tblPrEx>
          <w:tblCellMar>
            <w:top w:w="0" w:type="dxa"/>
            <w:bottom w:w="0" w:type="dxa"/>
          </w:tblCellMar>
        </w:tblPrEx>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D197E" w14:textId="77777777" w:rsidR="007973DE" w:rsidRDefault="00000000">
            <w:r>
              <w:rPr>
                <w:sz w:val="19"/>
                <w:szCs w:val="19"/>
              </w:rPr>
              <w:t>Casos planificados</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67BDCD" w14:textId="77777777" w:rsidR="007973DE" w:rsidRDefault="00000000">
            <w:r>
              <w:rPr>
                <w:sz w:val="19"/>
                <w:szCs w:val="19"/>
              </w:rPr>
              <w:t>25</w:t>
            </w:r>
          </w:p>
        </w:tc>
      </w:tr>
      <w:tr w:rsidR="007973DE" w14:paraId="18B80A26" w14:textId="77777777">
        <w:tblPrEx>
          <w:tblCellMar>
            <w:top w:w="0" w:type="dxa"/>
            <w:bottom w:w="0" w:type="dxa"/>
          </w:tblCellMar>
        </w:tblPrEx>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09746EAA" w14:textId="77777777" w:rsidR="007973DE" w:rsidRDefault="00000000">
            <w:r>
              <w:rPr>
                <w:sz w:val="19"/>
                <w:szCs w:val="19"/>
              </w:rPr>
              <w:t>Escenarios automatizados resultantes (uno por caso principal)</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2C633A4" w14:textId="77777777" w:rsidR="007973DE" w:rsidRDefault="00000000">
            <w:r>
              <w:rPr>
                <w:sz w:val="19"/>
                <w:szCs w:val="19"/>
              </w:rPr>
              <w:t>9</w:t>
            </w:r>
          </w:p>
        </w:tc>
      </w:tr>
      <w:tr w:rsidR="007973DE" w14:paraId="3D5C747E" w14:textId="77777777">
        <w:tblPrEx>
          <w:tblCellMar>
            <w:top w:w="0" w:type="dxa"/>
            <w:bottom w:w="0" w:type="dxa"/>
          </w:tblCellMar>
        </w:tblPrEx>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6A1909" w14:textId="77777777" w:rsidR="007973DE" w:rsidRDefault="00000000">
            <w:r>
              <w:rPr>
                <w:sz w:val="19"/>
                <w:szCs w:val="19"/>
              </w:rPr>
              <w:t>Casos absorbidos por otro escenario</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F682D" w14:textId="77777777" w:rsidR="007973DE" w:rsidRDefault="00000000">
            <w:r>
              <w:rPr>
                <w:sz w:val="19"/>
                <w:szCs w:val="19"/>
              </w:rPr>
              <w:t>12</w:t>
            </w:r>
          </w:p>
        </w:tc>
      </w:tr>
      <w:tr w:rsidR="007973DE" w14:paraId="16065746" w14:textId="77777777">
        <w:tblPrEx>
          <w:tblCellMar>
            <w:top w:w="0" w:type="dxa"/>
            <w:bottom w:w="0" w:type="dxa"/>
          </w:tblCellMar>
        </w:tblPrEx>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EEDE037" w14:textId="77777777" w:rsidR="007973DE" w:rsidRDefault="00000000">
            <w:r>
              <w:rPr>
                <w:sz w:val="19"/>
                <w:szCs w:val="19"/>
              </w:rPr>
              <w:t>Casos fuera de alcance por logs</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6BF5AAD" w14:textId="77777777" w:rsidR="007973DE" w:rsidRDefault="00000000">
            <w:r>
              <w:rPr>
                <w:sz w:val="19"/>
                <w:szCs w:val="19"/>
              </w:rPr>
              <w:t>3 (38500, 38504, 38521)</w:t>
            </w:r>
          </w:p>
        </w:tc>
      </w:tr>
      <w:tr w:rsidR="007973DE" w14:paraId="4CB35C9A" w14:textId="77777777">
        <w:tblPrEx>
          <w:tblCellMar>
            <w:top w:w="0" w:type="dxa"/>
            <w:bottom w:w="0" w:type="dxa"/>
          </w:tblCellMar>
        </w:tblPrEx>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EC34B" w14:textId="77777777" w:rsidR="007973DE" w:rsidRDefault="00000000">
            <w:r>
              <w:rPr>
                <w:sz w:val="19"/>
                <w:szCs w:val="19"/>
              </w:rPr>
              <w:t>Casos propuestos para descartar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A6C3D3" w14:textId="77777777" w:rsidR="007973DE" w:rsidRDefault="00000000">
            <w:r>
              <w:rPr>
                <w:sz w:val="19"/>
                <w:szCs w:val="19"/>
              </w:rPr>
              <w:t>1 (38701)</w:t>
            </w:r>
          </w:p>
        </w:tc>
      </w:tr>
      <w:tr w:rsidR="007973DE" w14:paraId="19CD0C8C" w14:textId="77777777">
        <w:tblPrEx>
          <w:tblCellMar>
            <w:top w:w="0" w:type="dxa"/>
            <w:bottom w:w="0" w:type="dxa"/>
          </w:tblCellMar>
        </w:tblPrEx>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7F46FD1" w14:textId="77777777" w:rsidR="007973DE" w:rsidRDefault="00000000">
            <w:r>
              <w:rPr>
                <w:sz w:val="19"/>
                <w:szCs w:val="19"/>
              </w:rPr>
              <w:t>Total (9 + 12 + 3 + 1)</w:t>
            </w:r>
          </w:p>
        </w:tc>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7725FAC" w14:textId="77777777" w:rsidR="007973DE" w:rsidRDefault="00000000">
            <w:r>
              <w:rPr>
                <w:sz w:val="19"/>
                <w:szCs w:val="19"/>
              </w:rPr>
              <w:t>25</w:t>
            </w:r>
          </w:p>
        </w:tc>
      </w:tr>
    </w:tbl>
    <w:p w14:paraId="6A672023" w14:textId="77777777" w:rsidR="007973DE" w:rsidRDefault="007973DE">
      <w:pPr>
        <w:spacing w:after="60"/>
      </w:pPr>
    </w:p>
    <w:p w14:paraId="1148D149" w14:textId="77777777" w:rsidR="007973DE" w:rsidRDefault="00000000">
      <w:pPr>
        <w:pStyle w:val="Ttulo1"/>
        <w:spacing w:before="280" w:after="120"/>
      </w:pPr>
      <w:r>
        <w:t>8. Pendientes por confirmar</w:t>
      </w:r>
    </w:p>
    <w:p w14:paraId="31918695" w14:textId="77777777" w:rsidR="007973DE" w:rsidRDefault="00000000">
      <w:pPr>
        <w:pStyle w:val="Prrafodelista"/>
        <w:numPr>
          <w:ilvl w:val="0"/>
          <w:numId w:val="2"/>
        </w:numPr>
        <w:spacing w:after="60"/>
      </w:pPr>
      <w:r>
        <w:t>Datos de clientes con Cédula de Extranjería (CE): el listado actual solo tiene CC, por lo que 38502, 38503 y 38520 quedan bloqueados hasta contar con datos CE.</w:t>
      </w:r>
    </w:p>
    <w:p w14:paraId="36E4CA49" w14:textId="77777777" w:rsidR="007973DE" w:rsidRDefault="00000000">
      <w:pPr>
        <w:pStyle w:val="Prrafodelista"/>
        <w:numPr>
          <w:ilvl w:val="0"/>
          <w:numId w:val="2"/>
        </w:numPr>
        <w:spacing w:after="60"/>
      </w:pPr>
      <w:r>
        <w:t xml:space="preserve">Casos de SMS (38499, 38503): confirmado que se envían SMS reales al número registrado del cliente. Se necesitan dispositivos reales con una línea asignada y clientes de prueba asociados a esa línea, sin registrar en la </w:t>
      </w:r>
      <w:proofErr w:type="gramStart"/>
      <w:r>
        <w:t>app</w:t>
      </w:r>
      <w:proofErr w:type="gramEnd"/>
      <w:r>
        <w:t>.</w:t>
      </w:r>
    </w:p>
    <w:p w14:paraId="0231294A" w14:textId="77777777" w:rsidR="007973DE" w:rsidRDefault="00000000">
      <w:pPr>
        <w:pStyle w:val="Prrafodelista"/>
        <w:numPr>
          <w:ilvl w:val="0"/>
          <w:numId w:val="2"/>
        </w:numPr>
        <w:spacing w:after="60"/>
      </w:pPr>
      <w:r>
        <w:t>Conexión de los dispositivos reales: desde un celular ubicado fuera de Colombia todas las validaciones respondieron "Validación fallida". Falta confirmar si es un bloqueo por ubicación; si lo es, el dispositivo debe conectarse con una VPN ubicada en Colombia.</w:t>
      </w:r>
    </w:p>
    <w:p w14:paraId="3309BC66" w14:textId="77777777" w:rsidR="007973DE" w:rsidRDefault="00000000">
      <w:pPr>
        <w:pStyle w:val="Prrafodelista"/>
        <w:numPr>
          <w:ilvl w:val="0"/>
          <w:numId w:val="2"/>
        </w:numPr>
        <w:spacing w:after="60"/>
      </w:pPr>
      <w:r>
        <w:t xml:space="preserve">Clientes con cada tipo de producto (ahorro, corriente, libre inversión, rotativo, </w:t>
      </w:r>
      <w:proofErr w:type="gramStart"/>
      <w:r>
        <w:t>pre aprobado</w:t>
      </w:r>
      <w:proofErr w:type="gramEnd"/>
      <w:r>
        <w:t xml:space="preserve">) que además estén registrados en la </w:t>
      </w:r>
      <w:proofErr w:type="gramStart"/>
      <w:r>
        <w:t>app</w:t>
      </w:r>
      <w:proofErr w:type="gramEnd"/>
      <w:r>
        <w:t>, para los casos de productos del Home.</w:t>
      </w:r>
    </w:p>
    <w:p w14:paraId="178D5799" w14:textId="77777777" w:rsidR="007973DE" w:rsidRDefault="00000000">
      <w:pPr>
        <w:pStyle w:val="Prrafodelista"/>
        <w:numPr>
          <w:ilvl w:val="0"/>
          <w:numId w:val="2"/>
        </w:numPr>
        <w:spacing w:after="60"/>
      </w:pPr>
      <w:r>
        <w:t>Corrección del título de 38504 en Azure para que indique que es la variante CE.</w:t>
      </w:r>
    </w:p>
    <w:sectPr w:rsidR="007973DE">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A437E" w14:textId="77777777" w:rsidR="00C32EBF" w:rsidRDefault="00C32EBF">
      <w:r>
        <w:separator/>
      </w:r>
    </w:p>
  </w:endnote>
  <w:endnote w:type="continuationSeparator" w:id="0">
    <w:p w14:paraId="5FA4D439" w14:textId="77777777" w:rsidR="00C32EBF" w:rsidRDefault="00C32E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7C4A1" w14:textId="77777777" w:rsidR="007973DE" w:rsidRDefault="00000000">
    <w:pPr>
      <w:jc w:val="right"/>
    </w:pPr>
    <w:r>
      <w:rPr>
        <w:color w:val="808080"/>
        <w:sz w:val="16"/>
        <w:szCs w:val="16"/>
      </w:rPr>
      <w:t xml:space="preserve">GreenSQA · Automatización App Mi Banco · 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C0C1C">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E7F23" w14:textId="77777777" w:rsidR="00C32EBF" w:rsidRDefault="00C32EBF">
      <w:r>
        <w:separator/>
      </w:r>
    </w:p>
  </w:footnote>
  <w:footnote w:type="continuationSeparator" w:id="0">
    <w:p w14:paraId="14466813" w14:textId="77777777" w:rsidR="00C32EBF" w:rsidRDefault="00C32EB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D10016"/>
    <w:multiLevelType w:val="hybridMultilevel"/>
    <w:tmpl w:val="D91E0B20"/>
    <w:lvl w:ilvl="0" w:tplc="1232798C">
      <w:start w:val="1"/>
      <w:numFmt w:val="bullet"/>
      <w:lvlText w:val="•"/>
      <w:lvlJc w:val="left"/>
      <w:pPr>
        <w:ind w:left="540" w:hanging="270"/>
      </w:pPr>
    </w:lvl>
    <w:lvl w:ilvl="1" w:tplc="957A090A">
      <w:numFmt w:val="decimal"/>
      <w:lvlText w:val=""/>
      <w:lvlJc w:val="left"/>
    </w:lvl>
    <w:lvl w:ilvl="2" w:tplc="2B0CD4E2">
      <w:numFmt w:val="decimal"/>
      <w:lvlText w:val=""/>
      <w:lvlJc w:val="left"/>
    </w:lvl>
    <w:lvl w:ilvl="3" w:tplc="5D52A38C">
      <w:numFmt w:val="decimal"/>
      <w:lvlText w:val=""/>
      <w:lvlJc w:val="left"/>
    </w:lvl>
    <w:lvl w:ilvl="4" w:tplc="D6A624D2">
      <w:numFmt w:val="decimal"/>
      <w:lvlText w:val=""/>
      <w:lvlJc w:val="left"/>
    </w:lvl>
    <w:lvl w:ilvl="5" w:tplc="E13EA712">
      <w:numFmt w:val="decimal"/>
      <w:lvlText w:val=""/>
      <w:lvlJc w:val="left"/>
    </w:lvl>
    <w:lvl w:ilvl="6" w:tplc="F63CF2AE">
      <w:numFmt w:val="decimal"/>
      <w:lvlText w:val=""/>
      <w:lvlJc w:val="left"/>
    </w:lvl>
    <w:lvl w:ilvl="7" w:tplc="C322686E">
      <w:numFmt w:val="decimal"/>
      <w:lvlText w:val=""/>
      <w:lvlJc w:val="left"/>
    </w:lvl>
    <w:lvl w:ilvl="8" w:tplc="DA9E60E8">
      <w:numFmt w:val="decimal"/>
      <w:lvlText w:val=""/>
      <w:lvlJc w:val="left"/>
    </w:lvl>
  </w:abstractNum>
  <w:abstractNum w:abstractNumId="1" w15:restartNumberingAfterBreak="0">
    <w:nsid w:val="3C420249"/>
    <w:multiLevelType w:val="hybridMultilevel"/>
    <w:tmpl w:val="4ADC456E"/>
    <w:lvl w:ilvl="0" w:tplc="0736E634">
      <w:start w:val="1"/>
      <w:numFmt w:val="bullet"/>
      <w:lvlText w:val="●"/>
      <w:lvlJc w:val="left"/>
      <w:pPr>
        <w:ind w:left="720" w:hanging="360"/>
      </w:pPr>
    </w:lvl>
    <w:lvl w:ilvl="1" w:tplc="E1A2A81A">
      <w:start w:val="1"/>
      <w:numFmt w:val="bullet"/>
      <w:lvlText w:val="○"/>
      <w:lvlJc w:val="left"/>
      <w:pPr>
        <w:ind w:left="1440" w:hanging="360"/>
      </w:pPr>
    </w:lvl>
    <w:lvl w:ilvl="2" w:tplc="6B029758">
      <w:start w:val="1"/>
      <w:numFmt w:val="bullet"/>
      <w:lvlText w:val="■"/>
      <w:lvlJc w:val="left"/>
      <w:pPr>
        <w:ind w:left="2160" w:hanging="360"/>
      </w:pPr>
    </w:lvl>
    <w:lvl w:ilvl="3" w:tplc="790E8A08">
      <w:start w:val="1"/>
      <w:numFmt w:val="bullet"/>
      <w:lvlText w:val="●"/>
      <w:lvlJc w:val="left"/>
      <w:pPr>
        <w:ind w:left="2880" w:hanging="360"/>
      </w:pPr>
    </w:lvl>
    <w:lvl w:ilvl="4" w:tplc="EF7037DA">
      <w:start w:val="1"/>
      <w:numFmt w:val="bullet"/>
      <w:lvlText w:val="○"/>
      <w:lvlJc w:val="left"/>
      <w:pPr>
        <w:ind w:left="3600" w:hanging="360"/>
      </w:pPr>
    </w:lvl>
    <w:lvl w:ilvl="5" w:tplc="344C9904">
      <w:start w:val="1"/>
      <w:numFmt w:val="bullet"/>
      <w:lvlText w:val="■"/>
      <w:lvlJc w:val="left"/>
      <w:pPr>
        <w:ind w:left="4320" w:hanging="360"/>
      </w:pPr>
    </w:lvl>
    <w:lvl w:ilvl="6" w:tplc="CEFAF53C">
      <w:start w:val="1"/>
      <w:numFmt w:val="bullet"/>
      <w:lvlText w:val="●"/>
      <w:lvlJc w:val="left"/>
      <w:pPr>
        <w:ind w:left="5040" w:hanging="360"/>
      </w:pPr>
    </w:lvl>
    <w:lvl w:ilvl="7" w:tplc="9754F51A">
      <w:start w:val="1"/>
      <w:numFmt w:val="bullet"/>
      <w:lvlText w:val="●"/>
      <w:lvlJc w:val="left"/>
      <w:pPr>
        <w:ind w:left="5760" w:hanging="360"/>
      </w:pPr>
    </w:lvl>
    <w:lvl w:ilvl="8" w:tplc="93D62284">
      <w:start w:val="1"/>
      <w:numFmt w:val="bullet"/>
      <w:lvlText w:val="●"/>
      <w:lvlJc w:val="left"/>
      <w:pPr>
        <w:ind w:left="6480" w:hanging="360"/>
      </w:pPr>
    </w:lvl>
  </w:abstractNum>
  <w:num w:numId="1" w16cid:durableId="476150102">
    <w:abstractNumId w:val="1"/>
    <w:lvlOverride w:ilvl="0">
      <w:startOverride w:val="1"/>
    </w:lvlOverride>
  </w:num>
  <w:num w:numId="2" w16cid:durableId="1946232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3DE"/>
    <w:rsid w:val="000A2057"/>
    <w:rsid w:val="007973DE"/>
    <w:rsid w:val="007C0C1C"/>
    <w:rsid w:val="00C32EB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4BF28"/>
  <w15:docId w15:val="{388F2A04-4D0B-4ED4-9CA2-8B04D8DB8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843D"/>
      <w:sz w:val="28"/>
      <w:szCs w:val="28"/>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1052</Words>
  <Characters>5792</Characters>
  <Application>Microsoft Office Word</Application>
  <DocSecurity>0</DocSecurity>
  <Lines>48</Lines>
  <Paragraphs>13</Paragraphs>
  <ScaleCrop>false</ScaleCrop>
  <Company/>
  <LinksUpToDate>false</LinksUpToDate>
  <CharactersWithSpaces>6831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Consolidación de casos de prueba - App Mi Banco</dc:title>
  <dc:creator>GreenSQA</dc:creator>
  <cp:lastModifiedBy>Jorge Luis Fonseca Baldrich</cp:lastModifiedBy>
  <cp:revision>2</cp:revision>
  <dcterms:created xsi:type="dcterms:W3CDTF">2026-10-09T15:14:00Z</dcterms:created>
  <dcterms:modified xsi:type="dcterms:W3CDTF">2026-10-09T15:18:00Z</dcterms:modified>
</cp:coreProperties>
</file>