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735B2" w:rsidRPr="004667F3" w:rsidRDefault="00FA5D68">
      <w:pPr>
        <w:spacing w:after="60"/>
        <w:rPr>
          <w:lang w:val="es-MX"/>
        </w:rPr>
      </w:pPr>
      <w:r>
        <w:rPr>
          <w:b/>
          <w:bCs/>
          <w:color w:val="00843D"/>
          <w:sz w:val="40"/>
          <w:szCs w:val="40"/>
          <w:lang w:val="es-MX"/>
        </w:rPr>
        <w:t>Consolidación de casos de prueba</w:t>
      </w:r>
    </w:p>
    <w:p w:rsidR="00C735B2" w:rsidRPr="004667F3" w:rsidRDefault="00FA5D68">
      <w:pPr>
        <w:pBdr>
          <w:bottom w:val="single" w:sz="8" w:space="4" w:color="00843D"/>
        </w:pBdr>
        <w:spacing w:after="240"/>
        <w:rPr>
          <w:lang w:val="es-MX"/>
        </w:rPr>
      </w:pPr>
      <w:r>
        <w:rPr>
          <w:color w:val="595959"/>
          <w:lang w:val="es-MX"/>
        </w:rPr>
        <w:t>App Mi Banco · Procesos Registro, Autenticación, Home y Cuentas · Versión 6 · 20 de octubre de 2026</w:t>
      </w:r>
    </w:p>
    <w:p w:rsidR="00C735B2" w:rsidRPr="004667F3" w:rsidRDefault="00FA5D68">
      <w:pPr>
        <w:pStyle w:val="Ttulo1"/>
        <w:spacing w:before="280" w:after="120"/>
        <w:rPr>
          <w:lang w:val="es-MX"/>
        </w:rPr>
      </w:pPr>
      <w:r>
        <w:rPr>
          <w:lang w:val="es-MX"/>
        </w:rPr>
        <w:t>1. Propósito</w:t>
      </w:r>
    </w:p>
    <w:p w:rsidR="00C735B2" w:rsidRPr="004667F3" w:rsidRDefault="00FA5D68">
      <w:pPr>
        <w:spacing w:after="120"/>
        <w:rPr>
          <w:lang w:val="es-MX"/>
        </w:rPr>
      </w:pPr>
      <w:r>
        <w:rPr>
          <w:lang w:val="es-MX"/>
        </w:rPr>
        <w:t>Este documento identifica los casos de prueba planificados en Azure DevOps que se solapan entre sí: casos que siguen el mismo flujo en la app y solo cambian los datos de entrada. Para la automatización, cada grupo se atiende con un único escenario, lo que reduce código a mantener y tiempo de ejecución sin perder cobertura.</w:t>
      </w:r>
    </w:p>
    <w:p w:rsidR="00C735B2" w:rsidRPr="004667F3" w:rsidRDefault="00FA5D68">
      <w:pPr>
        <w:spacing w:after="120"/>
        <w:rPr>
          <w:lang w:val="es-MX"/>
        </w:rPr>
      </w:pPr>
      <w:r>
        <w:rPr>
          <w:lang w:val="es-MX"/>
        </w:rPr>
        <w:t>Fuentes: "Proyecto App_Autenticación y Registro.xlsx" (11 casos), "Proyecto App_Home.xlsx" (14 casos) y "Proyecto App_Cuentas (Inclu. 7x24).xlsx" (13 casos), exportados de Azure DevOps.</w:t>
      </w:r>
    </w:p>
    <w:p w:rsidR="00C735B2" w:rsidRPr="001E67CF" w:rsidRDefault="00FA5D68">
      <w:pPr>
        <w:pStyle w:val="Ttulo1"/>
        <w:spacing w:before="280" w:after="120"/>
        <w:rPr>
          <w:lang w:val="es-MX"/>
        </w:rPr>
      </w:pPr>
      <w:r w:rsidRPr="001E67CF">
        <w:rPr>
          <w:lang w:val="es-MX"/>
        </w:rPr>
        <w:t>2. Cómo funciona la consolidación</w:t>
      </w:r>
    </w:p>
    <w:p w:rsidR="00C735B2" w:rsidRPr="004667F3" w:rsidRDefault="00FA5D68">
      <w:pPr>
        <w:pStyle w:val="Prrafodelista"/>
        <w:numPr>
          <w:ilvl w:val="0"/>
          <w:numId w:val="2"/>
        </w:numPr>
        <w:spacing w:after="60"/>
        <w:rPr>
          <w:lang w:val="es-MX"/>
        </w:rPr>
      </w:pPr>
      <w:r>
        <w:rPr>
          <w:b/>
          <w:bCs/>
          <w:lang w:val="es-MX"/>
        </w:rPr>
        <w:t xml:space="preserve">Un escenario, varios </w:t>
      </w:r>
      <w:proofErr w:type="spellStart"/>
      <w:r>
        <w:rPr>
          <w:b/>
          <w:bCs/>
          <w:lang w:val="es-MX"/>
        </w:rPr>
        <w:t>IDs</w:t>
      </w:r>
      <w:proofErr w:type="spellEnd"/>
      <w:r>
        <w:rPr>
          <w:b/>
          <w:bCs/>
          <w:lang w:val="es-MX"/>
        </w:rPr>
        <w:t xml:space="preserve">: </w:t>
      </w:r>
      <w:r>
        <w:rPr>
          <w:lang w:val="es-MX"/>
        </w:rPr>
        <w:t>el escenario Gherkin lleva el tag de cada caso que cubre (por ejemplo @38498 @38502).</w:t>
      </w:r>
    </w:p>
    <w:p w:rsidR="00C735B2" w:rsidRPr="004667F3" w:rsidRDefault="00FA5D68">
      <w:pPr>
        <w:pStyle w:val="Prrafodelista"/>
        <w:numPr>
          <w:ilvl w:val="0"/>
          <w:numId w:val="2"/>
        </w:numPr>
        <w:spacing w:after="60"/>
        <w:rPr>
          <w:lang w:val="es-MX"/>
        </w:rPr>
      </w:pPr>
      <w:r>
        <w:rPr>
          <w:b/>
          <w:bCs/>
          <w:lang w:val="es-MX"/>
        </w:rPr>
        <w:t xml:space="preserve">Los datos están en el archivo de control: </w:t>
      </w:r>
      <w:r>
        <w:rPr>
          <w:lang w:val="es-MX"/>
        </w:rPr>
        <w:t>cada fila de Control_Ejecucion.xlsx indica el caso, el tipo de documento y el dato a usar. Así 38498 y 38502 son dos filas del mismo escenario, una con CC y otra con CE.</w:t>
      </w:r>
    </w:p>
    <w:p w:rsidR="00C735B2" w:rsidRPr="004667F3" w:rsidRDefault="00FA5D68">
      <w:pPr>
        <w:pStyle w:val="Prrafodelista"/>
        <w:numPr>
          <w:ilvl w:val="0"/>
          <w:numId w:val="2"/>
        </w:numPr>
        <w:spacing w:after="60"/>
        <w:rPr>
          <w:lang w:val="es-MX"/>
        </w:rPr>
      </w:pPr>
      <w:r>
        <w:rPr>
          <w:b/>
          <w:bCs/>
          <w:lang w:val="es-MX"/>
        </w:rPr>
        <w:t xml:space="preserve">El resultado se reporta por caso: </w:t>
      </w:r>
      <w:r>
        <w:rPr>
          <w:lang w:val="es-MX"/>
        </w:rPr>
        <w:t>cada fila del control queda con su ID de Azure en el reporte, por lo que la trazabilidad por caso se mantiene.</w:t>
      </w:r>
    </w:p>
    <w:p w:rsidR="00C735B2" w:rsidRPr="004667F3" w:rsidRDefault="00FA5D68">
      <w:pPr>
        <w:pStyle w:val="Prrafodelista"/>
        <w:numPr>
          <w:ilvl w:val="0"/>
          <w:numId w:val="2"/>
        </w:numPr>
        <w:spacing w:after="60"/>
        <w:rPr>
          <w:lang w:val="es-MX"/>
        </w:rPr>
      </w:pPr>
      <w:r>
        <w:rPr>
          <w:b/>
          <w:bCs/>
          <w:lang w:val="es-MX"/>
        </w:rPr>
        <w:t xml:space="preserve">En Azure DevOps no se eliminan los casos absorbidos: </w:t>
      </w:r>
      <w:r>
        <w:rPr>
          <w:lang w:val="es-MX"/>
        </w:rPr>
        <w:t>se recomienda conservarlos y marcarlos como "cubierto por la automatización del caso principal".</w:t>
      </w:r>
    </w:p>
    <w:p w:rsidR="00C735B2" w:rsidRPr="004667F3" w:rsidRDefault="00FA5D68">
      <w:pPr>
        <w:pStyle w:val="Ttulo1"/>
        <w:spacing w:before="280" w:after="120"/>
        <w:rPr>
          <w:lang w:val="es-MX"/>
        </w:rPr>
      </w:pPr>
      <w:r>
        <w:rPr>
          <w:lang w:val="es-MX"/>
        </w:rPr>
        <w:t>3. Tabla de consolidación</w:t>
      </w:r>
    </w:p>
    <w:p w:rsidR="00C735B2" w:rsidRPr="004667F3" w:rsidRDefault="00FA5D68">
      <w:pPr>
        <w:spacing w:after="120"/>
        <w:rPr>
          <w:lang w:val="es-MX"/>
        </w:rPr>
      </w:pPr>
      <w:r>
        <w:rPr>
          <w:lang w:val="es-MX"/>
        </w:rPr>
        <w:t>Casos automatizables y el escenario que los atiende: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500"/>
        <w:gridCol w:w="1900"/>
        <w:gridCol w:w="2560"/>
        <w:gridCol w:w="1500"/>
      </w:tblGrid>
      <w:tr w:rsidR="00C735B2">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Escenario automatizado</w:t>
            </w:r>
          </w:p>
        </w:tc>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 principal</w:t>
            </w:r>
          </w:p>
        </w:tc>
        <w:tc>
          <w:tcPr>
            <w:tcW w:w="1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Casos absorbidos</w:t>
            </w:r>
          </w:p>
        </w:tc>
        <w:tc>
          <w:tcPr>
            <w:tcW w:w="25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Qué varía entre ellos</w:t>
            </w:r>
          </w:p>
        </w:tc>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Estado</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Registro exitoso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38498 (CC)</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38502 (CE)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Tipo de documento, definido en el archivo de control</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lang w:val="es-MX"/>
              </w:rPr>
              <w:t>Construido</w:t>
            </w:r>
          </w:p>
        </w:tc>
      </w:tr>
      <w:tr w:rsidR="00C735B2" w:rsidRPr="001E67CF">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Registro exitoso con envío de SMS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38499 (CC)</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38503 (CE)</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Tipo de documento. Reutiliza los pasos del registro y agrega la verificación del SMS en un dispositivo real con la línea asignada al cliente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Construido. Requiere un dispositivo real con la línea asociada al cliente</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Login </w:t>
            </w:r>
            <w:proofErr w:type="spellStart"/>
            <w:r>
              <w:rPr>
                <w:sz w:val="19"/>
                <w:szCs w:val="19"/>
              </w:rPr>
              <w:t>exitoso</w:t>
            </w:r>
            <w:proofErr w:type="spellEnd"/>
            <w:r>
              <w:rPr>
                <w:sz w:val="19"/>
                <w:szCs w:val="19"/>
              </w:rPr>
              <w:t xml:space="preserve"> →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38519 (CC)</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38520 (CE)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Tipo de documento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Construido</w:t>
            </w:r>
          </w:p>
        </w:tc>
      </w:tr>
      <w:tr w:rsidR="00C735B2">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Recuperación de clave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38529</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38526</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El flujo de 38529 pasa por la validación OTP de 38526; ese punto se verifica dentro del mismo escenario</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Construido</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Encabezado del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38699</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Los pasos 1 a 5 de 38700 son los mismos de 38699; 38700 </w:t>
            </w:r>
            <w:r>
              <w:rPr>
                <w:sz w:val="19"/>
                <w:szCs w:val="19"/>
                <w:lang w:val="es-MX"/>
              </w:rPr>
              <w:lastRenderedPageBreak/>
              <w:t>agrega la fecha de último ingreso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lastRenderedPageBreak/>
              <w:t>Construido</w:t>
            </w:r>
          </w:p>
        </w:tc>
      </w:tr>
      <w:tr w:rsidR="00C735B2">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Accesos directos del Home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38703</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38704</w:t>
            </w:r>
          </w:p>
          <w:p w:rsidR="00C735B2" w:rsidRDefault="00FA5D68">
            <w:r>
              <w:rPr>
                <w:sz w:val="19"/>
                <w:szCs w:val="19"/>
              </w:rPr>
              <w:t>38711</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Acceso a validar (Bre-B, Pedir crédito) y menú (superior o inferior)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Construido</w:t>
            </w:r>
          </w:p>
        </w:tc>
      </w:tr>
      <w:tr w:rsidR="00C735B2" w:rsidRPr="001E67CF">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Productos del cliente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38705 (ahorro)</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38706 (corriente)</w:t>
            </w:r>
          </w:p>
          <w:p w:rsidR="00FA5D68" w:rsidRPr="004667F3" w:rsidRDefault="00FA5D68">
            <w:pPr>
              <w:rPr>
                <w:sz w:val="19"/>
                <w:szCs w:val="19"/>
                <w:lang w:val="es-MX"/>
              </w:rPr>
            </w:pPr>
            <w:r>
              <w:rPr>
                <w:sz w:val="19"/>
                <w:szCs w:val="19"/>
                <w:lang w:val="es-MX"/>
              </w:rPr>
              <w:t>38707 (libre inversión)</w:t>
            </w:r>
          </w:p>
          <w:p w:rsidR="00FA5D68" w:rsidRPr="004667F3" w:rsidRDefault="00FA5D68">
            <w:pPr>
              <w:rPr>
                <w:sz w:val="19"/>
                <w:szCs w:val="19"/>
                <w:lang w:val="es-MX"/>
              </w:rPr>
            </w:pPr>
            <w:r>
              <w:rPr>
                <w:sz w:val="19"/>
                <w:szCs w:val="19"/>
                <w:lang w:val="es-MX"/>
              </w:rPr>
              <w:t>38708 (rotativo)</w:t>
            </w:r>
          </w:p>
          <w:p w:rsidR="00FA5D68" w:rsidRPr="004667F3" w:rsidRDefault="00FA5D68">
            <w:pPr>
              <w:rPr>
                <w:sz w:val="19"/>
                <w:szCs w:val="19"/>
                <w:lang w:val="es-MX"/>
              </w:rPr>
            </w:pPr>
            <w:r>
              <w:rPr>
                <w:sz w:val="19"/>
                <w:szCs w:val="19"/>
                <w:lang w:val="es-MX"/>
              </w:rPr>
              <w:t>38702 (pre aprobado)</w:t>
            </w:r>
          </w:p>
          <w:p w:rsidR="00FA5D68" w:rsidRDefault="00FA5D68">
            <w:pPr>
              <w:rPr>
                <w:sz w:val="19"/>
                <w:szCs w:val="19"/>
              </w:rPr>
            </w:pPr>
            <w:r>
              <w:rPr>
                <w:sz w:val="19"/>
                <w:szCs w:val="19"/>
              </w:rPr>
              <w:t>38709 (saldos)</w:t>
            </w:r>
          </w:p>
          <w:p w:rsidR="00C735B2" w:rsidRDefault="00FA5D68">
            <w:r>
              <w:rPr>
                <w:sz w:val="19"/>
                <w:szCs w:val="19"/>
              </w:rPr>
              <w:t>39561 a 39565 (Cuentas)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lang w:val="es-MX"/>
              </w:rPr>
              <w:t>Tipo de producto; requiere un cliente que tenga ese producto. 38709 valida los saldos de esas mismas tarjetas. 39561 a 39565 son duplicados de 38705 a 38709</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22035E">
            <w:pPr>
              <w:rPr>
                <w:lang w:val="es-MX"/>
              </w:rPr>
            </w:pPr>
            <w:r>
              <w:rPr>
                <w:sz w:val="19"/>
                <w:szCs w:val="19"/>
                <w:lang w:val="es-MX"/>
              </w:rPr>
              <w:t>Construido. El saldo esperado de 38709 y 39565 se informa en la columna Monto del control</w:t>
            </w:r>
          </w:p>
        </w:tc>
      </w:tr>
      <w:tr w:rsidR="00C735B2" w:rsidRPr="001E67CF">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Banner "</w:t>
            </w:r>
            <w:proofErr w:type="spellStart"/>
            <w:r>
              <w:rPr>
                <w:sz w:val="19"/>
                <w:szCs w:val="19"/>
              </w:rPr>
              <w:t>Exclusivo</w:t>
            </w:r>
            <w:proofErr w:type="spellEnd"/>
            <w:r>
              <w:rPr>
                <w:sz w:val="19"/>
                <w:szCs w:val="19"/>
              </w:rPr>
              <w:t xml:space="preserve"> para </w:t>
            </w:r>
            <w:proofErr w:type="spellStart"/>
            <w:r>
              <w:rPr>
                <w:sz w:val="19"/>
                <w:szCs w:val="19"/>
              </w:rPr>
              <w:t>ti</w:t>
            </w:r>
            <w:proofErr w:type="spellEnd"/>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38710</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22035E">
            <w:pPr>
              <w:rPr>
                <w:lang w:val="es-MX"/>
              </w:rPr>
            </w:pPr>
            <w:r>
              <w:rPr>
                <w:sz w:val="19"/>
                <w:szCs w:val="19"/>
                <w:lang w:val="es-MX"/>
              </w:rPr>
              <w:t>Construido. Con una sola campaña, el deslizamiento queda como observación</w:t>
            </w:r>
          </w:p>
        </w:tc>
      </w:tr>
      <w:tr w:rsidR="00C735B2" w:rsidRPr="001E67CF">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proofErr w:type="spellStart"/>
            <w:r>
              <w:rPr>
                <w:sz w:val="19"/>
                <w:szCs w:val="19"/>
                <w:lang w:val="es-MX"/>
              </w:rPr>
              <w:t>Skeleton</w:t>
            </w:r>
            <w:proofErr w:type="spellEnd"/>
            <w:r>
              <w:rPr>
                <w:sz w:val="19"/>
                <w:szCs w:val="19"/>
                <w:lang w:val="es-MX"/>
              </w:rPr>
              <w:t xml:space="preserve"> de carga del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38698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Construido. El skeleton se lee desde la página (DevTools del WebView); si el backend responde muy rápido puede no alcanzar a verse</w:t>
            </w:r>
          </w:p>
        </w:tc>
      </w:tr>
      <w:tr w:rsidR="00FA5D68" w:rsidRPr="001E67CF">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proofErr w:type="spellStart"/>
            <w:r>
              <w:rPr>
                <w:sz w:val="19"/>
                <w:szCs w:val="19"/>
              </w:rPr>
              <w:t>Detalle</w:t>
            </w:r>
            <w:proofErr w:type="spellEnd"/>
            <w:r>
              <w:rPr>
                <w:sz w:val="19"/>
                <w:szCs w:val="19"/>
              </w:rPr>
              <w:t xml:space="preserve"> de </w:t>
            </w:r>
            <w:proofErr w:type="spellStart"/>
            <w:r>
              <w:rPr>
                <w:sz w:val="19"/>
                <w:szCs w:val="19"/>
              </w:rPr>
              <w:t>cuenta</w:t>
            </w:r>
            <w:proofErr w:type="spellEnd"/>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8532A7">
            <w:pPr>
              <w:rPr>
                <w:sz w:val="19"/>
                <w:szCs w:val="19"/>
                <w:lang w:val="es-MX"/>
              </w:rPr>
            </w:pPr>
            <w:r>
              <w:rPr>
                <w:sz w:val="19"/>
                <w:szCs w:val="19"/>
                <w:lang w:val="es-MX"/>
              </w:rPr>
              <w:t>Construido. Valida la lista de movimientos o el aviso de que no hay movimientos</w:t>
            </w:r>
          </w:p>
        </w:tc>
      </w:tr>
      <w:tr w:rsidR="00FA5D68" w:rsidRPr="001E67CF">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Movimientos de la cuenta: tope de 20 y sin paginación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39567</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39569</w:t>
            </w:r>
          </w:p>
          <w:p w:rsidR="00FA5D68" w:rsidRDefault="00FA5D68">
            <w:pPr>
              <w:rPr>
                <w:sz w:val="19"/>
                <w:szCs w:val="19"/>
              </w:rPr>
            </w:pPr>
            <w:r>
              <w:rPr>
                <w:sz w:val="19"/>
                <w:szCs w:val="19"/>
              </w:rPr>
              <w:t>39570</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39569 y 39570 verifican lo mismo: sin botón "Ver más", sin paginación ni scroll infinito. 39567 agrega el conteo máximo de 20 y el orden de la más reciente a la más antigua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452307">
            <w:pPr>
              <w:rPr>
                <w:sz w:val="19"/>
                <w:szCs w:val="19"/>
                <w:lang w:val="es-MX"/>
              </w:rPr>
            </w:pPr>
            <w:r>
              <w:rPr>
                <w:sz w:val="19"/>
                <w:szCs w:val="19"/>
                <w:lang w:val="es-MX"/>
              </w:rPr>
              <w:t>Construido. Con menos de 20 movimientos en los últimos 30 días el corte queda como observación</w:t>
            </w:r>
          </w:p>
        </w:tc>
      </w:tr>
      <w:tr w:rsidR="00FA5D68" w:rsidRPr="001E67CF">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Rango de fechas de los movimientos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Reutiliza el ingreso al detalle de cuenta; valida que todas las fechas estén dentro del último mes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452307">
            <w:pPr>
              <w:rPr>
                <w:sz w:val="19"/>
                <w:szCs w:val="19"/>
                <w:lang w:val="es-MX"/>
              </w:rPr>
            </w:pPr>
            <w:r>
              <w:rPr>
                <w:sz w:val="19"/>
                <w:szCs w:val="19"/>
                <w:lang w:val="es-MX"/>
              </w:rPr>
              <w:t>Construido. La app solo muestra los movimientos de los últimos 30 días</w:t>
            </w:r>
          </w:p>
        </w:tc>
      </w:tr>
      <w:tr w:rsidR="00FA5D68" w:rsidRPr="001E67CF">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proofErr w:type="spellStart"/>
            <w:r>
              <w:rPr>
                <w:sz w:val="19"/>
                <w:szCs w:val="19"/>
              </w:rPr>
              <w:lastRenderedPageBreak/>
              <w:t>Detalle</w:t>
            </w:r>
            <w:proofErr w:type="spellEnd"/>
            <w:r>
              <w:rPr>
                <w:sz w:val="19"/>
                <w:szCs w:val="19"/>
              </w:rPr>
              <w:t xml:space="preserve"> de </w:t>
            </w:r>
            <w:proofErr w:type="spellStart"/>
            <w:r>
              <w:rPr>
                <w:sz w:val="19"/>
                <w:szCs w:val="19"/>
              </w:rPr>
              <w:t>transacción</w:t>
            </w:r>
            <w:proofErr w:type="spellEnd"/>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8532A7">
            <w:pPr>
              <w:rPr>
                <w:sz w:val="19"/>
                <w:szCs w:val="19"/>
                <w:lang w:val="es-MX"/>
              </w:rPr>
            </w:pPr>
            <w:r>
              <w:rPr>
                <w:sz w:val="19"/>
                <w:szCs w:val="19"/>
                <w:lang w:val="es-MX"/>
              </w:rPr>
              <w:t>Construido. La app no muestra cuenta de origen ni de destino: queda como observación</w:t>
            </w:r>
          </w:p>
        </w:tc>
      </w:tr>
      <w:tr w:rsidR="00FA5D68">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proofErr w:type="spellStart"/>
            <w:r>
              <w:rPr>
                <w:sz w:val="19"/>
                <w:szCs w:val="19"/>
              </w:rPr>
              <w:t>Comprobante</w:t>
            </w:r>
            <w:proofErr w:type="spellEnd"/>
            <w:r>
              <w:rPr>
                <w:sz w:val="19"/>
                <w:szCs w:val="19"/>
              </w:rPr>
              <w:t xml:space="preserve"> de </w:t>
            </w:r>
            <w:proofErr w:type="spellStart"/>
            <w:r>
              <w:rPr>
                <w:sz w:val="19"/>
                <w:szCs w:val="19"/>
              </w:rPr>
              <w:t>transacción</w:t>
            </w:r>
            <w:proofErr w:type="spellEnd"/>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39572 (descargar)</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39573 (compartir)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Acción sobre el comprobante: descargarlo o compartirlo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8532A7">
            <w:pPr>
              <w:rPr>
                <w:sz w:val="19"/>
                <w:szCs w:val="19"/>
              </w:rPr>
            </w:pPr>
            <w:r>
              <w:rPr>
                <w:sz w:val="19"/>
                <w:szCs w:val="19"/>
                <w:lang w:val="es-MX"/>
              </w:rPr>
              <w:t xml:space="preserve">Construidos; Descargar: la imagen se adjunta a la evidencia y se borra del dispositivo. </w:t>
            </w:r>
            <w:r>
              <w:rPr>
                <w:sz w:val="19"/>
                <w:szCs w:val="19"/>
              </w:rPr>
              <w:t>Compartir: se cancela sin elegir app</w:t>
            </w:r>
          </w:p>
        </w:tc>
      </w:tr>
    </w:tbl>
    <w:p w:rsidR="00C735B2" w:rsidRDefault="00C735B2">
      <w:pPr>
        <w:spacing w:after="60"/>
      </w:pPr>
    </w:p>
    <w:p w:rsidR="00C735B2" w:rsidRPr="004667F3" w:rsidRDefault="00FA5D68">
      <w:pPr>
        <w:pStyle w:val="Ttulo1"/>
        <w:spacing w:before="280" w:after="120"/>
        <w:rPr>
          <w:lang w:val="es-MX"/>
        </w:rPr>
      </w:pPr>
      <w:r>
        <w:rPr>
          <w:lang w:val="es-MX"/>
        </w:rPr>
        <w:t>4. Caso descartado</w:t>
      </w:r>
    </w:p>
    <w:p w:rsidR="00C735B2" w:rsidRPr="004667F3" w:rsidRDefault="00FA5D68">
      <w:pPr>
        <w:spacing w:after="120"/>
        <w:rPr>
          <w:lang w:val="es-MX"/>
        </w:rPr>
      </w:pPr>
      <w:r>
        <w:rPr>
          <w:b/>
          <w:bCs/>
          <w:lang w:val="es-MX"/>
        </w:rPr>
        <w:t>38701 – Visualización de componentes de la pantalla: se cierra como cubierto por los casos de cada componente del Home: saludo (38699), último ingreso (38700), accesos (38703, 38704, 38711) y productos (38705 a 38708).</w:t>
      </w:r>
    </w:p>
    <w:p w:rsidR="00C735B2" w:rsidRPr="004667F3" w:rsidRDefault="00FA5D68">
      <w:pPr>
        <w:pStyle w:val="Ttulo1"/>
        <w:spacing w:before="280" w:after="120"/>
        <w:rPr>
          <w:lang w:val="es-MX"/>
        </w:rPr>
      </w:pPr>
      <w:r>
        <w:rPr>
          <w:lang w:val="es-MX"/>
        </w:rPr>
        <w:t>5. Casos fuera de alcance por ahora</w:t>
      </w:r>
    </w:p>
    <w:p w:rsidR="00C735B2" w:rsidRPr="004667F3" w:rsidRDefault="00FA5D68">
      <w:pPr>
        <w:spacing w:after="120"/>
        <w:rPr>
          <w:lang w:val="es-MX"/>
        </w:rPr>
      </w:pPr>
      <w:r>
        <w:rPr>
          <w:lang w:val="es-MX"/>
        </w:rPr>
        <w:t>Los casos de logs quedan excluidos de esta etapa porque requieren acceso al servicio de 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C735B2">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w:t>
            </w:r>
          </w:p>
        </w:tc>
        <w:tc>
          <w:tcPr>
            <w:tcW w:w="32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Título resumido</w:t>
            </w:r>
          </w:p>
        </w:tc>
        <w:tc>
          <w:tcPr>
            <w:tcW w:w="46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Motivo</w:t>
            </w:r>
          </w:p>
        </w:tc>
      </w:tr>
      <w:tr w:rsidR="00C735B2" w:rsidRPr="001E67CF">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38500</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Log por registro exitoso</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Fuera por ahora: requiere acceso al servicio de logs</w:t>
            </w:r>
          </w:p>
        </w:tc>
      </w:tr>
      <w:tr w:rsidR="00C735B2" w:rsidRPr="001E67CF">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38504</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Log por registro exitoso</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Fuera por ahora: requiere acceso al servicio de logs</w:t>
            </w:r>
          </w:p>
        </w:tc>
      </w:tr>
      <w:tr w:rsidR="00C735B2" w:rsidRPr="001E67CF">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38521</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Login exitoso genera log (servicio ID 6)</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Fuera por ahora: requiere acceso al servicio de logs</w:t>
            </w:r>
          </w:p>
        </w:tc>
      </w:tr>
    </w:tbl>
    <w:p w:rsidR="00C735B2" w:rsidRPr="004667F3" w:rsidRDefault="00C735B2">
      <w:pPr>
        <w:spacing w:after="60"/>
        <w:rPr>
          <w:lang w:val="es-MX"/>
        </w:rPr>
      </w:pPr>
    </w:p>
    <w:p w:rsidR="00C735B2" w:rsidRPr="004667F3" w:rsidRDefault="00FA5D68">
      <w:pPr>
        <w:pStyle w:val="Ttulo1"/>
        <w:spacing w:before="280" w:after="120"/>
        <w:rPr>
          <w:lang w:val="es-MX"/>
        </w:rPr>
      </w:pPr>
      <w:r>
        <w:rPr>
          <w:lang w:val="es-MX"/>
        </w:rPr>
        <w:t>6. Verificaciones que requieren acceso o revisión manual</w:t>
      </w:r>
    </w:p>
    <w:p w:rsidR="00C735B2" w:rsidRPr="004667F3" w:rsidRDefault="00FA5D68">
      <w:pPr>
        <w:spacing w:after="120"/>
        <w:rPr>
          <w:lang w:val="es-MX"/>
        </w:rPr>
      </w:pPr>
      <w:r>
        <w:rPr>
          <w:lang w:val="es-MX"/>
        </w:rPr>
        <w:t>Estos casos sí se automatizan. Solo la verificación puntual que se cita, tomada del texto del caso en Azure, no se puede hacer con la automatización por UI con los accesos actuales: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C735B2">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w:t>
            </w:r>
          </w:p>
        </w:tc>
        <w:tc>
          <w:tcPr>
            <w:tcW w:w="32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Pr="004667F3" w:rsidRDefault="00FA5D68">
            <w:pPr>
              <w:rPr>
                <w:lang w:val="es-MX"/>
              </w:rPr>
            </w:pPr>
            <w:r>
              <w:rPr>
                <w:b/>
                <w:bCs/>
                <w:color w:val="FFFFFF"/>
                <w:sz w:val="19"/>
                <w:szCs w:val="19"/>
                <w:lang w:val="es-MX"/>
              </w:rPr>
              <w:t>Lo que pide el caso en Azure</w:t>
            </w:r>
          </w:p>
        </w:tc>
        <w:tc>
          <w:tcPr>
            <w:tcW w:w="46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Tratamiento propuesto</w:t>
            </w:r>
          </w:p>
        </w:tc>
      </w:tr>
      <w:tr w:rsidR="00C735B2" w:rsidRPr="001E67CF">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38703, 38704</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Paso 5: "Verificar la identidad visual de la pantalla (fuentes, colores y logotipo) en comparación con el documento de diseño de interfaz (UI)"</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Sin el documento de diseño ni herramienta de pruebas visuales, esa comparación queda manual. La automatización valida que el acceso exista, esté habilitado y responda</w:t>
            </w:r>
          </w:p>
        </w:tc>
      </w:tr>
      <w:tr w:rsidR="00C735B2" w:rsidRPr="001E67CF">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lastRenderedPageBreak/>
              <w:t>38702</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Paso 6: "validar que el crédito que muestra con el cliente exista y este correcto en la bd"</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Se valida que el banner exista; la verificación en BD queda manual o pendiente de acceso</w:t>
            </w:r>
          </w:p>
        </w:tc>
      </w:tr>
      <w:tr w:rsidR="00C735B2" w:rsidRPr="001E67CF">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38709</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Paso 4: "Validar que los saldos y estados de cada producto financiero correspondan a la información real del cliente" (según el diseño y el backend)</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El saldo esperado se informa en la columna Monto del control y se compara con el de la tarjeta; la verificación de los estados contra el backend queda manual o pendiente de acceso</w:t>
            </w:r>
          </w:p>
        </w:tc>
      </w:tr>
      <w:tr w:rsidR="00FA5D68" w:rsidRPr="001E67CF">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39567</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Paso 4: "Comparar las fechas y horas de las primeras y últimas transacciones de la lista con los datos reales del backend del usuario"</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Igual que 38709: sin acceso al backend se valida el conteo, el orden y el formato; la comparación con el backend queda manual o pendiente de acceso</w:t>
            </w:r>
          </w:p>
        </w:tc>
      </w:tr>
      <w:tr w:rsidR="00FA5D68" w:rsidRPr="001E67CF">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39569, 39570</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"No se realiza ninguna petición de carga adicional" / "no realiza peticiones adicionales al backend (lazy loading)"</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La automatización valida que no aparezca "Ver más" ni paginación y que la lista no crezca al forzar el scroll; la ausencia de peticiones de red queda manual</w:t>
            </w:r>
          </w:p>
        </w:tc>
      </w:tr>
      <w:tr w:rsidR="00FA5D68" w:rsidRPr="001E67CF">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39572</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Paso 3: la imagen se guarda "con buena resolución y con los textos legibles"</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Se valida que la imagen quede guardada en el dispositivo y se adjunta a la evidencia; la legibilidad la revisa una persona</w:t>
            </w:r>
          </w:p>
        </w:tc>
      </w:tr>
      <w:tr w:rsidR="00FA5D68" w:rsidRPr="001E67CF">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39573</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Paso 3: la imagen "se envía de forma correcta al destinatario" por WhatsApp, correo o mensajes</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La automatización llega hasta el menú nativo de compartir con la imagen adjunta; el envío por una app externa queda manual (no se envían mensajes reales)</w:t>
            </w:r>
          </w:p>
        </w:tc>
      </w:tr>
    </w:tbl>
    <w:p w:rsidR="00C735B2" w:rsidRPr="004667F3" w:rsidRDefault="00C735B2">
      <w:pPr>
        <w:spacing w:after="60"/>
        <w:rPr>
          <w:lang w:val="es-MX"/>
        </w:rPr>
      </w:pPr>
    </w:p>
    <w:p w:rsidR="00C735B2" w:rsidRDefault="00FA5D68">
      <w:pPr>
        <w:pStyle w:val="Ttulo1"/>
        <w:spacing w:before="280" w:after="120"/>
      </w:pPr>
      <w:r>
        <w:t>7. Resumen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C735B2">
        <w:trPr>
          <w:tblHeader/>
        </w:trPr>
        <w:tc>
          <w:tcPr>
            <w:tcW w:w="63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Concepto</w:t>
            </w:r>
          </w:p>
        </w:tc>
        <w:tc>
          <w:tcPr>
            <w:tcW w:w="30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Cantidad</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Casos planificados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Escenarios automatizados resultantes (uno por caso principal)</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14</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Casos absorbidos por otro escenario</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20</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Casos fuera de alcance por logs</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 (38500, 38504, 38521)</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Casos descartados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1 (38701)</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Total (14 + 20 + 3 + 1)</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w:t>
            </w:r>
          </w:p>
        </w:tc>
      </w:tr>
    </w:tbl>
    <w:p w:rsidR="00C735B2" w:rsidRDefault="00C735B2">
      <w:pPr>
        <w:spacing w:after="60"/>
      </w:pPr>
    </w:p>
    <w:p w:rsidR="00C735B2" w:rsidRDefault="00FA5D68">
      <w:pPr>
        <w:pStyle w:val="Ttulo1"/>
        <w:spacing w:before="280" w:after="120"/>
      </w:pPr>
      <w:r>
        <w:t>8. Pendientes por confirmar</w:t>
      </w:r>
    </w:p>
    <w:p w:rsidR="00C735B2" w:rsidRPr="004667F3" w:rsidRDefault="001E67CF">
      <w:pPr>
        <w:pStyle w:val="Prrafodelista"/>
        <w:numPr>
          <w:ilvl w:val="0"/>
          <w:numId w:val="2"/>
        </w:numPr>
        <w:spacing w:after="60"/>
        <w:rPr>
          <w:lang w:val="es-MX"/>
        </w:rPr>
      </w:pPr>
      <w:r>
        <w:rPr>
          <w:lang w:val="es-MX"/>
        </w:rPr>
        <w:t>N/A</w:t>
      </w:r>
    </w:p>
    <w:p w:rsidR="000079A0" w:rsidRPr="004667F3" w:rsidRDefault="000079A0">
      <w:pPr>
        <w:rPr>
          <w:lang w:val="es-MX"/>
        </w:rPr>
      </w:pPr>
      <w:bookmarkStart w:id="0" w:name="_GoBack"/>
      <w:bookmarkEnd w:id="0"/>
    </w:p>
    <w:sectPr w:rsidR="000079A0" w:rsidRPr="004667F3">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B5078" w:rsidRDefault="008B5078">
      <w:r>
        <w:separator/>
      </w:r>
    </w:p>
  </w:endnote>
  <w:endnote w:type="continuationSeparator" w:id="0">
    <w:p w:rsidR="008B5078" w:rsidRDefault="008B50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735B2" w:rsidRPr="004667F3" w:rsidRDefault="00FA5D68">
    <w:pPr>
      <w:jc w:val="right"/>
      <w:rPr>
        <w:lang w:val="es-MX"/>
      </w:rPr>
    </w:pPr>
    <w:r w:rsidRPr="004667F3">
      <w:rPr>
        <w:color w:val="808080"/>
        <w:sz w:val="16"/>
        <w:szCs w:val="16"/>
        <w:lang w:val="es-MX"/>
      </w:rPr>
      <w:t xml:space="preserve">GreenSQA · Automatización App Mi Banco · Página </w:t>
    </w:r>
    <w:r>
      <w:rPr>
        <w:color w:val="808080"/>
        <w:sz w:val="16"/>
        <w:szCs w:val="16"/>
      </w:rPr>
      <w:fldChar w:fldCharType="begin"/>
    </w:r>
    <w:r w:rsidRPr="004667F3">
      <w:rPr>
        <w:color w:val="808080"/>
        <w:sz w:val="16"/>
        <w:szCs w:val="16"/>
        <w:lang w:val="es-MX"/>
      </w:rPr>
      <w:instrText>PAGE</w:instrText>
    </w:r>
    <w:r>
      <w:rPr>
        <w:color w:val="808080"/>
        <w:sz w:val="16"/>
        <w:szCs w:val="16"/>
      </w:rPr>
      <w:fldChar w:fldCharType="separate"/>
    </w:r>
    <w:r w:rsidRPr="004667F3">
      <w:rPr>
        <w:noProof/>
        <w:color w:val="808080"/>
        <w:sz w:val="16"/>
        <w:szCs w:val="16"/>
        <w:lang w:val="es-MX"/>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B5078" w:rsidRDefault="008B5078">
      <w:r>
        <w:separator/>
      </w:r>
    </w:p>
  </w:footnote>
  <w:footnote w:type="continuationSeparator" w:id="0">
    <w:p w:rsidR="008B5078" w:rsidRDefault="008B50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AF912E0"/>
    <w:multiLevelType w:val="hybridMultilevel"/>
    <w:tmpl w:val="A8DEC86C"/>
    <w:lvl w:ilvl="0" w:tplc="562C6614">
      <w:start w:val="1"/>
      <w:numFmt w:val="bullet"/>
      <w:lvlText w:val="•"/>
      <w:lvlJc w:val="left"/>
      <w:pPr>
        <w:ind w:left="540" w:hanging="270"/>
      </w:pPr>
    </w:lvl>
    <w:lvl w:ilvl="1" w:tplc="8730A9EE">
      <w:numFmt w:val="decimal"/>
      <w:lvlText w:val=""/>
      <w:lvlJc w:val="left"/>
    </w:lvl>
    <w:lvl w:ilvl="2" w:tplc="B8BEC790">
      <w:numFmt w:val="decimal"/>
      <w:lvlText w:val=""/>
      <w:lvlJc w:val="left"/>
    </w:lvl>
    <w:lvl w:ilvl="3" w:tplc="67103824">
      <w:numFmt w:val="decimal"/>
      <w:lvlText w:val=""/>
      <w:lvlJc w:val="left"/>
    </w:lvl>
    <w:lvl w:ilvl="4" w:tplc="49BE710A">
      <w:numFmt w:val="decimal"/>
      <w:lvlText w:val=""/>
      <w:lvlJc w:val="left"/>
    </w:lvl>
    <w:lvl w:ilvl="5" w:tplc="0CB85D90">
      <w:numFmt w:val="decimal"/>
      <w:lvlText w:val=""/>
      <w:lvlJc w:val="left"/>
    </w:lvl>
    <w:lvl w:ilvl="6" w:tplc="C6508542">
      <w:numFmt w:val="decimal"/>
      <w:lvlText w:val=""/>
      <w:lvlJc w:val="left"/>
    </w:lvl>
    <w:lvl w:ilvl="7" w:tplc="A4BE7BCA">
      <w:numFmt w:val="decimal"/>
      <w:lvlText w:val=""/>
      <w:lvlJc w:val="left"/>
    </w:lvl>
    <w:lvl w:ilvl="8" w:tplc="654CAC32">
      <w:numFmt w:val="decimal"/>
      <w:lvlText w:val=""/>
      <w:lvlJc w:val="left"/>
    </w:lvl>
  </w:abstractNum>
  <w:abstractNum w:abstractNumId="1" w15:restartNumberingAfterBreak="0">
    <w:nsid w:val="624A6C59"/>
    <w:multiLevelType w:val="hybridMultilevel"/>
    <w:tmpl w:val="A836A726"/>
    <w:lvl w:ilvl="0" w:tplc="E870C490">
      <w:start w:val="1"/>
      <w:numFmt w:val="bullet"/>
      <w:lvlText w:val="●"/>
      <w:lvlJc w:val="left"/>
      <w:pPr>
        <w:ind w:left="720" w:hanging="360"/>
      </w:pPr>
    </w:lvl>
    <w:lvl w:ilvl="1" w:tplc="5B60CC48">
      <w:start w:val="1"/>
      <w:numFmt w:val="bullet"/>
      <w:lvlText w:val="○"/>
      <w:lvlJc w:val="left"/>
      <w:pPr>
        <w:ind w:left="1440" w:hanging="360"/>
      </w:pPr>
    </w:lvl>
    <w:lvl w:ilvl="2" w:tplc="89CAA606">
      <w:start w:val="1"/>
      <w:numFmt w:val="bullet"/>
      <w:lvlText w:val="■"/>
      <w:lvlJc w:val="left"/>
      <w:pPr>
        <w:ind w:left="2160" w:hanging="360"/>
      </w:pPr>
    </w:lvl>
    <w:lvl w:ilvl="3" w:tplc="AD5AD60C">
      <w:start w:val="1"/>
      <w:numFmt w:val="bullet"/>
      <w:lvlText w:val="●"/>
      <w:lvlJc w:val="left"/>
      <w:pPr>
        <w:ind w:left="2880" w:hanging="360"/>
      </w:pPr>
    </w:lvl>
    <w:lvl w:ilvl="4" w:tplc="0EECC5B4">
      <w:start w:val="1"/>
      <w:numFmt w:val="bullet"/>
      <w:lvlText w:val="○"/>
      <w:lvlJc w:val="left"/>
      <w:pPr>
        <w:ind w:left="3600" w:hanging="360"/>
      </w:pPr>
    </w:lvl>
    <w:lvl w:ilvl="5" w:tplc="2564DA7C">
      <w:start w:val="1"/>
      <w:numFmt w:val="bullet"/>
      <w:lvlText w:val="■"/>
      <w:lvlJc w:val="left"/>
      <w:pPr>
        <w:ind w:left="4320" w:hanging="360"/>
      </w:pPr>
    </w:lvl>
    <w:lvl w:ilvl="6" w:tplc="84EA98AC">
      <w:start w:val="1"/>
      <w:numFmt w:val="bullet"/>
      <w:lvlText w:val="●"/>
      <w:lvlJc w:val="left"/>
      <w:pPr>
        <w:ind w:left="5040" w:hanging="360"/>
      </w:pPr>
    </w:lvl>
    <w:lvl w:ilvl="7" w:tplc="AA74A276">
      <w:start w:val="1"/>
      <w:numFmt w:val="bullet"/>
      <w:lvlText w:val="●"/>
      <w:lvlJc w:val="left"/>
      <w:pPr>
        <w:ind w:left="5760" w:hanging="360"/>
      </w:pPr>
    </w:lvl>
    <w:lvl w:ilvl="8" w:tplc="0D5C052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35B2"/>
    <w:rsid w:val="000079A0"/>
    <w:rsid w:val="00030593"/>
    <w:rsid w:val="000B40F8"/>
    <w:rsid w:val="001E67CF"/>
    <w:rsid w:val="0022035E"/>
    <w:rsid w:val="0028165A"/>
    <w:rsid w:val="00452307"/>
    <w:rsid w:val="004667F3"/>
    <w:rsid w:val="00702026"/>
    <w:rsid w:val="008050C7"/>
    <w:rsid w:val="008532A7"/>
    <w:rsid w:val="008B5078"/>
    <w:rsid w:val="00C735B2"/>
    <w:rsid w:val="00FA5D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2DE3E5"/>
  <w15:docId w15:val="{070695BD-9D92-448E-BCFE-3FC5EA3D7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uiPriority w:val="9"/>
    <w:qFormat/>
    <w:pPr>
      <w:outlineLvl w:val="0"/>
    </w:pPr>
    <w:rPr>
      <w:b/>
      <w:bCs/>
      <w:color w:val="00843D"/>
      <w:sz w:val="28"/>
      <w:szCs w:val="28"/>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1075</Words>
  <Characters>6132</Characters>
  <Application>Microsoft Office Word</Application>
  <DocSecurity>0</DocSecurity>
  <Lines>51</Lines>
  <Paragraphs>14</Paragraphs>
  <ScaleCrop>false</ScaleCrop>
  <Company/>
  <LinksUpToDate>false</LinksUpToDate>
  <CharactersWithSpaces>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Consolidación de casos de prueba - App Mi Banco</dc:title>
  <dc:creator>GreenSQA</dc:creator>
  <cp:lastModifiedBy>Juan Sebastian Beltran Tisoy</cp:lastModifiedBy>
  <cp:revision>11</cp:revision>
  <dcterms:created xsi:type="dcterms:W3CDTF">2026-10-13T01:16:00Z</dcterms:created>
  <dcterms:modified xsi:type="dcterms:W3CDTF">2026-10-21T16:13:00Z</dcterms:modified>
</cp:coreProperties>
</file>