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843D"/>
          <w:sz w:val="40"/>
          <w:szCs w:val="40"/>
        </w:rPr>
        <w:t xml:space="preserve">Consolidación de casos de prueba</w:t>
      </w:r>
    </w:p>
    <w:p>
      <w:pPr>
        <w:pBdr>
          <w:bottom w:val="single" w:color="00843D" w:sz="8" w:space="4"/>
        </w:pBdr>
        <w:spacing w:after="240"/>
      </w:pPr>
      <w:r>
        <w:rPr>
          <w:color w:val="595959"/>
        </w:rPr>
        <w:t xml:space="preserve">App Mi Banco · Procesos Registro, Autenticación y Home · Versión 3 · 12 de octubre de 2026</w:t>
      </w:r>
    </w:p>
    <w:p>
      <w:pPr>
        <w:pStyle w:val="Heading1"/>
        <w:spacing w:before="280" w:after="120"/>
      </w:pPr>
      <w:r>
        <w:t xml:space="preserve">1. Propósito</w:t>
      </w:r>
    </w:p>
    <w:p>
      <w:pPr>
        <w:spacing w:after="120"/>
      </w:pPr>
      <w:r>
        <w:t xml:space="preserve">Este documento identifica los casos de prueba planificados en Azure DevOps que se solapan entre sí: casos que siguen el mismo flujo en la app y solo cambian los datos de entrada. Para la automatización, cada grupo se atiende con un único escenario, lo que reduce código a mantener y tiempo de ejecución sin perder cobertura.</w:t>
      </w:r>
    </w:p>
    <w:p>
      <w:pPr>
        <w:spacing w:after="120"/>
      </w:pPr>
      <w:r>
        <w:t xml:space="preserve">Fuentes: "Proyecto App_Autenticación y Registro.xlsx" (11 casos) y "Proyecto App_Home.xlsx" (14 casos), exportados de Azure DevOps.</w:t>
      </w:r>
    </w:p>
    <w:p>
      <w:pPr>
        <w:spacing w:after="120"/>
      </w:pPr>
      <w:r>
        <w:rPr>
          <w:b/>
          <w:bCs/>
        </w:rPr>
        <w:t xml:space="preserve">Importante: </w:t>
      </w:r>
      <w:r>
        <w:t xml:space="preserve">las agrupaciones, el caso propuesto para descartar y las verificaciones manuales son una propuesta de GreenSQA, construida a partir del texto de cada caso en Azure. No están escritas en los casos y requieren aprobación del equipo.</w:t>
      </w:r>
    </w:p>
    <w:p>
      <w:pPr>
        <w:pStyle w:val="Heading1"/>
        <w:spacing w:before="280" w:after="120"/>
      </w:pPr>
      <w:r>
        <w:t xml:space="preserve">2. Cómo funciona la consolidación</w:t>
      </w:r>
    </w:p>
    <w:p>
      <w:pPr>
        <w:pStyle w:val="ListParagraph"/>
        <w:numPr>
          <w:ilvl w:val="0"/>
          <w:numId w:val="2"/>
        </w:numPr>
        <w:spacing w:after="60"/>
      </w:pPr>
      <w:r>
        <w:rPr>
          <w:b/>
          <w:bCs/>
        </w:rPr>
        <w:t xml:space="preserve">Un escenario, varios IDs: </w:t>
      </w:r>
      <w:r>
        <w:t xml:space="preserve">el escenario Gherkin lleva el tag de cada caso que cubre (por ejemplo @38498 @38502).</w:t>
      </w:r>
    </w:p>
    <w:p>
      <w:pPr>
        <w:pStyle w:val="ListParagraph"/>
        <w:numPr>
          <w:ilvl w:val="0"/>
          <w:numId w:val="2"/>
        </w:numPr>
        <w:spacing w:after="60"/>
      </w:pPr>
      <w:r>
        <w:rPr>
          <w:b/>
          <w:bCs/>
        </w:rPr>
        <w:t xml:space="preserve">Los datos están en el archivo de control: </w:t>
      </w:r>
      <w:r>
        <w:t xml:space="preserve">cada fila de Control_Ejecucion.xlsx indica el caso, el tipo de documento y el dato a usar. Así 38498 y 38502 son dos filas del mismo escenario, una con CC y otra con CE.</w:t>
      </w:r>
    </w:p>
    <w:p>
      <w:pPr>
        <w:pStyle w:val="ListParagraph"/>
        <w:numPr>
          <w:ilvl w:val="0"/>
          <w:numId w:val="2"/>
        </w:numPr>
        <w:spacing w:after="60"/>
      </w:pPr>
      <w:r>
        <w:rPr>
          <w:b/>
          <w:bCs/>
        </w:rPr>
        <w:t xml:space="preserve">El resultado se reporta por caso: </w:t>
      </w:r>
      <w:r>
        <w:t xml:space="preserve">cada fila del control queda con su ID de Azure en el reporte, por lo que la trazabilidad por caso se mantiene.</w:t>
      </w:r>
    </w:p>
    <w:p>
      <w:pPr>
        <w:pStyle w:val="ListParagraph"/>
        <w:numPr>
          <w:ilvl w:val="0"/>
          <w:numId w:val="2"/>
        </w:numPr>
        <w:spacing w:after="60"/>
      </w:pPr>
      <w:r>
        <w:rPr>
          <w:b/>
          <w:bCs/>
        </w:rPr>
        <w:t xml:space="preserve">En Azure DevOps no se eliminan los casos absorbidos: </w:t>
      </w:r>
      <w:r>
        <w:t xml:space="preserve">se recomienda conservarlos y marcarlos como "cubierto por la automatización del caso principal".</w:t>
      </w:r>
    </w:p>
    <w:p>
      <w:pPr>
        <w:pStyle w:val="Heading1"/>
        <w:spacing w:before="280" w:after="120"/>
      </w:pPr>
      <w:r>
        <w:t xml:space="preserve">3. Tabla de consolidación</w:t>
      </w:r>
    </w:p>
    <w:p>
      <w:pPr>
        <w:spacing w:after="120"/>
      </w:pPr>
      <w:r>
        <w:t xml:space="preserve">Casos automatizables y el escenario que los atiende: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2560"/>
        <w:gridCol w:w="1500"/>
      </w:tblGrid>
      <w:tr>
        <w:trPr>
          <w:tblHeader/>
        </w:trPr>
        <w:tc>
          <w:tcPr>
            <w:tcW w:type="dxa" w:w="19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Escenario automatizado</w:t>
            </w:r>
          </w:p>
        </w:tc>
        <w:tc>
          <w:tcPr>
            <w:tcW w:type="dxa" w:w="15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Caso principal</w:t>
            </w:r>
          </w:p>
        </w:tc>
        <w:tc>
          <w:tcPr>
            <w:tcW w:type="dxa" w:w="19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Casos absorbidos</w:t>
            </w:r>
          </w:p>
        </w:tc>
        <w:tc>
          <w:tcPr>
            <w:tcW w:type="dxa" w:w="256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Qué varía entre ellos</w:t>
            </w:r>
          </w:p>
        </w:tc>
        <w:tc>
          <w:tcPr>
            <w:tcW w:type="dxa" w:w="15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Estado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Registro exitoso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38498 (CC)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38502 (CE)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Tipo de documento, definido en el archivo de control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Construido; ejecutado con éxito en CC. CE bloqueado por datos</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Registro exitoso con envío de SMS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38499 (CC)</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38503 (CE)</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Tipo de documento. Reutiliza los pasos del registro y agrega la verificación del SMS en un dispositivo real con la línea asignada al cliente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Construido; requiere línea asociada al cliente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Login exitoso → Home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38519 (CC)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38520 (CE)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Tipo de documento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Construido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Recuperación de clave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38529</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38526</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El flujo de 38529 pasa por la validación OTP de 38526; ese punto se verifica dentro del mismo escenario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Construido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Encabezado del Home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38699</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 pasos 1 a 5 de 38700 son los mismos de 38699; 38700 agrega la fecha de último ingreso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Construido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Accesos directos del Home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38703</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38704</w:t>
            </w:r>
          </w:p>
          <w:p>
            <w:r>
              <w:rPr>
                <w:b w:val="false"/>
                <w:bCs w:val="false"/>
                <w:sz w:val="19"/>
                <w:szCs w:val="19"/>
              </w:rPr>
              <w:t xml:space="preserve">38711</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Acceso a validar (Bre-B, Pedir crédito) y menú (superior o inferior)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Construido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Productos del cliente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38705 (ahorro)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38706 (corriente)</w:t>
            </w:r>
          </w:p>
          <w:p>
            <w:r>
              <w:rPr>
                <w:b w:val="false"/>
                <w:bCs w:val="false"/>
                <w:sz w:val="19"/>
                <w:szCs w:val="19"/>
              </w:rPr>
              <w:t xml:space="preserve">38707 (libre inversión)</w:t>
            </w:r>
          </w:p>
          <w:p>
            <w:r>
              <w:rPr>
                <w:b w:val="false"/>
                <w:bCs w:val="false"/>
                <w:sz w:val="19"/>
                <w:szCs w:val="19"/>
              </w:rPr>
              <w:t xml:space="preserve">38708 (rotativo)</w:t>
            </w:r>
          </w:p>
          <w:p>
            <w:r>
              <w:rPr>
                <w:b w:val="false"/>
                <w:bCs w:val="false"/>
                <w:sz w:val="19"/>
                <w:szCs w:val="19"/>
              </w:rPr>
              <w:t xml:space="preserve">38702 (pre aprobado)</w:t>
            </w:r>
          </w:p>
          <w:p>
            <w:r>
              <w:rPr>
                <w:b w:val="false"/>
                <w:bCs w:val="false"/>
                <w:sz w:val="19"/>
                <w:szCs w:val="19"/>
              </w:rPr>
              <w:t xml:space="preserve">38709 (saldos)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Tipo de producto; requiere un cliente que tenga ese producto. 38709 valida los saldos de esas mismas tarjetas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Construido; 38705, 38707, 38708 y 38702 ejecutados con éxito. 38706 sin datos y 38709 sin monto del backend</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Banner "Exclusivo para ti"</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38710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Pendiente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Skeleton de carga del Home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38698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Construido; ejecutado con éxito (lectura de la página por DevTools)</w:t>
            </w:r>
          </w:p>
        </w:tc>
      </w:tr>
    </w:tbl>
    <w:p>
      <w:pPr>
        <w:spacing w:after="60"/>
      </w:pPr>
      <w:r>
        <w:t xml:space="preserve"/>
      </w:r>
    </w:p>
    <w:p>
      <w:pPr>
        <w:pStyle w:val="Heading1"/>
        <w:spacing w:before="280" w:after="120"/>
      </w:pPr>
      <w:r>
        <w:t xml:space="preserve">4. Caso propuesto para descartar (pendiente de aprobación)</w:t>
      </w:r>
    </w:p>
    <w:p>
      <w:pPr>
        <w:spacing w:after="120"/>
      </w:pPr>
      <w:r>
        <w:rPr>
          <w:b/>
          <w:bCs/>
        </w:rPr>
        <w:t xml:space="preserve">38701 – Visualización de componentes de la pantalla. </w:t>
      </w:r>
      <w:r>
        <w:t xml:space="preserve">Recomendación de GreenSQA, a partir de su texto en Azure:</w:t>
      </w:r>
    </w:p>
    <w:p>
      <w:pPr>
        <w:pStyle w:val="ListParagraph"/>
        <w:numPr>
          <w:ilvl w:val="0"/>
          <w:numId w:val="2"/>
        </w:numPr>
        <w:spacing w:after="60"/>
      </w:pPr>
      <w:r>
        <w:rPr>
          <w:b/>
          <w:bCs/>
        </w:rPr>
        <w:t xml:space="preserve">Título genérico: </w:t>
      </w:r>
      <w:r>
        <w:t xml:space="preserve">no indica qué componentes se validan.</w:t>
      </w:r>
    </w:p>
    <w:p>
      <w:pPr>
        <w:pStyle w:val="ListParagraph"/>
        <w:numPr>
          <w:ilvl w:val="0"/>
          <w:numId w:val="2"/>
        </w:numPr>
        <w:spacing w:after="60"/>
      </w:pPr>
      <w:r>
        <w:rPr>
          <w:b/>
          <w:bCs/>
        </w:rPr>
        <w:t xml:space="preserve">Pasos genéricos: </w:t>
      </w:r>
      <w:r>
        <w:t xml:space="preserve">"Validar que la pantalla, opción o componente requerido se encuentre disponible y habilitado" y "Validar los textos, componentes, datos y estados visuales mostrados", sin nombrar ningún elemento.</w:t>
      </w:r>
    </w:p>
    <w:p>
      <w:pPr>
        <w:pStyle w:val="ListParagraph"/>
        <w:numPr>
          <w:ilvl w:val="0"/>
          <w:numId w:val="2"/>
        </w:numPr>
        <w:spacing w:after="60"/>
      </w:pPr>
      <w:r>
        <w:rPr>
          <w:b/>
          <w:bCs/>
        </w:rPr>
        <w:t xml:space="preserve">Precondición de otra pantalla: </w:t>
      </w:r>
      <w:r>
        <w:t xml:space="preserve">"usuario ingresa a la app y visualiza formulario de logueo", que corresponde al login y no al Home.</w:t>
      </w:r>
    </w:p>
    <w:p>
      <w:pPr>
        <w:spacing w:after="120"/>
      </w:pPr>
      <w:r>
        <w:t xml:space="preserve">Cada componente del Home ya tiene su propio caso: saludo (38699), último ingreso (38700), accesos (38703, 38704, 38711) y productos (38705 a 38708). Por eso se propone cerrarlo como cubierto por esos casos. Si el equipo le asigna un alcance concreto, se automatiza.</w:t>
      </w:r>
    </w:p>
    <w:p>
      <w:pPr>
        <w:pStyle w:val="Heading1"/>
        <w:spacing w:before="280" w:after="120"/>
      </w:pPr>
      <w:r>
        <w:t xml:space="preserve">5. Casos fuera de alcance por ahora</w:t>
      </w:r>
    </w:p>
    <w:p>
      <w:pPr>
        <w:spacing w:after="120"/>
      </w:pPr>
      <w:r>
        <w:t xml:space="preserve">Los casos de logs quedan excluidos de esta etapa por decisión del proyecto, porque requieren acceso al servicio de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Caso</w:t>
            </w:r>
          </w:p>
        </w:tc>
        <w:tc>
          <w:tcPr>
            <w:tcW w:type="dxa" w:w="32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Título resumido</w:t>
            </w:r>
          </w:p>
        </w:tc>
        <w:tc>
          <w:tcPr>
            <w:tcW w:type="dxa" w:w="466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Motivo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38500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 por registro exitoso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Fuera por ahora: requiere acceso al servicio de logs</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38504</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Log por registro exitoso</w:t>
            </w:r>
          </w:p>
        </w:tc>
        <w:tc>
          <w:tcPr>
            <w:tcW w:type="dxa" w:w="4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Fuera por ahora. Por la secuencia 38502/38503/38504 parece la variante CE de 38500, aunque su texto no menciona CE; conviene corregir el título en Azure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38521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Login exitoso genera log (servicio ID 6)</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Fuera por ahora: requiere acceso al servicio de logs</w:t>
            </w:r>
          </w:p>
        </w:tc>
      </w:tr>
    </w:tbl>
    <w:p>
      <w:pPr>
        <w:spacing w:after="60"/>
      </w:pPr>
      <w:r>
        <w:t xml:space="preserve"/>
      </w:r>
    </w:p>
    <w:p>
      <w:pPr>
        <w:pStyle w:val="Heading1"/>
        <w:spacing w:before="280" w:after="120"/>
      </w:pPr>
      <w:r>
        <w:t xml:space="preserve">6. Verificaciones que requieren acceso o revisión manual</w:t>
      </w:r>
    </w:p>
    <w:p>
      <w:pPr>
        <w:spacing w:after="120"/>
      </w:pPr>
      <w:r>
        <w:t xml:space="preserve">Estos casos sí se automatizan. Solo la verificación puntual que se cita, tomada del texto del caso en Azure, no se puede hacer con la automatización por UI con los accesos actuales: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Caso</w:t>
            </w:r>
          </w:p>
        </w:tc>
        <w:tc>
          <w:tcPr>
            <w:tcW w:type="dxa" w:w="32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Lo que pide el caso en Azure</w:t>
            </w:r>
          </w:p>
        </w:tc>
        <w:tc>
          <w:tcPr>
            <w:tcW w:type="dxa" w:w="466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Tratamiento propuesto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38703, 38704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Paso 5: "Verificar la identidad visual de la pantalla (fuentes, colores y logotipo) en comparación con el documento de diseño de interfaz (UI)"</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Sin el documento de diseño ni herramienta de pruebas visuales, esa comparación queda manual. La automatización valida que el acceso exista, esté habilitado y responda</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38702</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Paso 6: "validar que el crédito que muestra con el cliente exista y este correcto en la bd"</w:t>
            </w:r>
          </w:p>
        </w:tc>
        <w:tc>
          <w:tcPr>
            <w:tcW w:type="dxa" w:w="4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Sin acceso a la base de datos solo se valida presencia y formato; la verificación en BD queda manual o pendiente de acceso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38709</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Paso 4: "Validar que los saldos y estados de cada producto financiero correspondan a la información real del cliente" (según el diseño y el backend)</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Igual que 38702. La sábana de cartera es una foto del 23/09/2026 y no sirve como referencia de saldos</w:t>
            </w:r>
          </w:p>
        </w:tc>
      </w:tr>
    </w:tbl>
    <w:p>
      <w:pPr>
        <w:spacing w:after="60"/>
      </w:pPr>
      <w:r>
        <w:t xml:space="preserve"/>
      </w:r>
    </w:p>
    <w:p>
      <w:pPr>
        <w:pStyle w:val="Heading1"/>
        <w:spacing w:before="280" w:after="120"/>
      </w:pPr>
      <w:r>
        <w:t xml:space="preserve">7.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Concepto</w:t>
            </w:r>
          </w:p>
        </w:tc>
        <w:tc>
          <w:tcPr>
            <w:tcW w:type="dxa" w:w="30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Cantidad</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Casos planificados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w:t>
            </w:r>
          </w:p>
        </w:tc>
      </w:tr>
      <w:t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Escenarios automatizados resultantes (uno por caso principal)</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9</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Casos absorbidos por otro escenario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r>
      <w:t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Casos fuera de alcance por logs</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 (38500, 38504, 38521)</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Casos propuestos para descartar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(38701)</w:t>
            </w:r>
          </w:p>
        </w:tc>
      </w:tr>
      <w:t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Total (9 + 12 + 3 + 1)</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25</w:t>
            </w:r>
          </w:p>
        </w:tc>
      </w:tr>
    </w:tbl>
    <w:p>
      <w:pPr>
        <w:spacing w:after="60"/>
      </w:pPr>
      <w:r>
        <w:t xml:space="preserve"/>
      </w:r>
    </w:p>
    <w:p>
      <w:pPr>
        <w:pStyle w:val="Heading1"/>
        <w:spacing w:before="280" w:after="120"/>
      </w:pPr>
      <w:r>
        <w:t xml:space="preserve">8. Pendientes por confirmar</w:t>
      </w:r>
    </w:p>
    <w:p>
      <w:pPr>
        <w:pStyle w:val="ListParagraph"/>
        <w:numPr>
          <w:ilvl w:val="0"/>
          <w:numId w:val="2"/>
        </w:numPr>
        <w:spacing w:after="60"/>
      </w:pPr>
      <w:r>
        <w:t xml:space="preserve">Cliente de prueba con cuenta corriente (38706) y con cuota vigente (38707): ninguno de los clientes registrados los tiene (verificado por la automatización el 12/10).</w:t>
      </w:r>
    </w:p>
    <w:p>
      <w:pPr>
        <w:pStyle w:val="ListParagraph"/>
        <w:numPr>
          <w:ilvl w:val="0"/>
          <w:numId w:val="2"/>
        </w:numPr>
        <w:spacing w:after="60"/>
      </w:pPr>
      <w:r>
        <w:t xml:space="preserve">Claves de dos clientes registrados que la app rechazó (Datos incorrectos): quedaron FALLIDO en el listado hasta revisarlas o recuperarlas.</w:t>
      </w:r>
    </w:p>
    <w:p>
      <w:pPr>
        <w:pStyle w:val="ListParagraph"/>
        <w:numPr>
          <w:ilvl w:val="0"/>
          <w:numId w:val="2"/>
        </w:numPr>
        <w:spacing w:after="60"/>
      </w:pPr>
      <w:r>
        <w:t xml:space="preserve">Fuente del monto esperado para 38709: la sábana no coincide con el Home, por lo que el valor debe venir del backend.</w:t>
      </w:r>
    </w:p>
    <w:p>
      <w:pPr>
        <w:pStyle w:val="ListParagraph"/>
        <w:numPr>
          <w:ilvl w:val="0"/>
          <w:numId w:val="2"/>
        </w:numPr>
        <w:spacing w:after="60"/>
      </w:pPr>
      <w:r>
        <w:t xml:space="preserve">Datos de clientes con Cédula de Extranjería (CE): hay un solo cliente CE registrado, que sirve para 38520. Faltan clientes CE disponibles (sin registrar) para 38502 y 38503.</w:t>
      </w:r>
    </w:p>
    <w:p>
      <w:pPr>
        <w:pStyle w:val="ListParagraph"/>
        <w:numPr>
          <w:ilvl w:val="0"/>
          <w:numId w:val="2"/>
        </w:numPr>
        <w:spacing w:after="60"/>
      </w:pPr>
      <w:r>
        <w:t xml:space="preserve">Casos de SMS (38499, 38503): confirmado que se envían SMS reales al número registrado del cliente. Se necesitan dispositivos reales con una línea asignada y clientes de prueba asociados a esa línea, sin registrar en la app.</w:t>
      </w:r>
    </w:p>
    <w:p>
      <w:pPr>
        <w:pStyle w:val="ListParagraph"/>
        <w:numPr>
          <w:ilvl w:val="0"/>
          <w:numId w:val="2"/>
        </w:numPr>
        <w:spacing w:after="60"/>
      </w:pPr>
      <w:r>
        <w:t xml:space="preserve">Conexión de los dispositivos reales: desde un celular ubicado fuera de Colombia todas las validaciones respondieron "Validación fallida". Falta confirmar si es un bloqueo por ubicación; si lo es, el dispositivo debe conectarse con una VPN ubicada en Colombia.</w:t>
      </w:r>
    </w:p>
    <w:p>
      <w:pPr>
        <w:pStyle w:val="ListParagraph"/>
        <w:numPr>
          <w:ilvl w:val="0"/>
          <w:numId w:val="2"/>
        </w:numPr>
        <w:spacing w:after="60"/>
      </w:pPr>
      <w:r>
        <w:t xml:space="preserve">Corrección del título de 38504 en Azure para que indique que es la variante CE.</w:t>
      </w:r>
    </w:p>
    <w:p>
      <w:pPr>
        <w:pStyle w:val="Heading1"/>
        <w:spacing w:before="280" w:after="120"/>
      </w:pPr>
      <w:r>
        <w:t xml:space="preserve">9. Control de cambios para el equipo funcional</w:t>
      </w:r>
    </w:p>
    <w:p>
      <w:pPr>
        <w:spacing w:after="120"/>
      </w:pPr>
      <w:r>
        <w:t xml:space="preserve">Diferencias entre el texto de los casos y lo que muestra la app, observadas el 12/10/2026 en el ambiente de certificación (emulador Android) con 4 clientes registrados. La automatización valida lo observado en la app y reporta cada diferencia para que el equipo funcional confirme si se corrige el caso o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700"/>
        <w:gridCol w:w="2900"/>
        <w:gridCol w:w="2260"/>
      </w:tblGrid>
      <w:tr>
        <w:trPr>
          <w:tblHeader/>
        </w:trPr>
        <w:tc>
          <w:tcPr>
            <w:tcW w:type="dxa" w:w="5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w:t>
            </w:r>
          </w:p>
        </w:tc>
        <w:tc>
          <w:tcPr>
            <w:tcW w:type="dxa" w:w="10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Caso</w:t>
            </w:r>
          </w:p>
        </w:tc>
        <w:tc>
          <w:tcPr>
            <w:tcW w:type="dxa" w:w="27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Texto del caso en Azure</w:t>
            </w:r>
          </w:p>
        </w:tc>
        <w:tc>
          <w:tcPr>
            <w:tcW w:type="dxa" w:w="290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Observado en la app</w:t>
            </w:r>
          </w:p>
        </w:tc>
        <w:tc>
          <w:tcPr>
            <w:tcW w:type="dxa" w:w="2260"/>
            <w:tcBorders>
              <w:top w:val="single" w:color="BFBFBF" w:sz="4"/>
              <w:left w:val="single" w:color="BFBFBF" w:sz="4"/>
              <w:bottom w:val="single" w:color="BFBFBF" w:sz="4"/>
              <w:right w:val="single" w:color="BFBFBF" w:sz="4"/>
            </w:tcBorders>
            <w:shd w:fill="00843D" w:color="auto" w:val="clear"/>
            <w:tcMar>
              <w:top w:type="dxa" w:w="60"/>
              <w:left w:type="dxa" w:w="100"/>
              <w:bottom w:type="dxa" w:w="60"/>
              <w:right w:type="dxa" w:w="100"/>
            </w:tcMar>
          </w:tcPr>
          <w:p>
            <w:r>
              <w:rPr>
                <w:b/>
                <w:bCs/>
                <w:color w:val="FFFFFF"/>
                <w:sz w:val="19"/>
                <w:szCs w:val="19"/>
              </w:rPr>
              <w:t xml:space="preserve">Decisión y acción solicitada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Tipo y últimos 4 dígitos: "Cuenta ahorros **** 5038"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Título "Cuentas de ahorro **** 1234" (en plural) en los 4 clientes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 valida el texto observado. Confirmar cuál es el texto correcto</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38705</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Etiqueta de categoría "Ahorro con propósito" en un contenedor gris</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La etiqueta gris muestra el nombre de la cuenta (por ejemplo "Mi cuenta pn")</w:t>
            </w:r>
          </w:p>
        </w:tc>
        <w:tc>
          <w:tcPr>
            <w:tcW w:type="dxa" w:w="2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Se valida que la etiqueta exista. Confirmar qué debe mostrar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38705 a 38709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Saldo con formato "$ 26,000,000,00"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Formato "$22.746.864,51": punto de miles, coma decimal, sin espacio. El ejemplo del caso mezcla separadores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 valida el formato observado. Corregir el ejemplo en los casos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38707</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Título del producto "Libre inversión"</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Ningún crédito se titula "Libre inversión": todos aparecen como "Préstamos" (4 de 4 clientes)</w:t>
            </w:r>
          </w:p>
        </w:tc>
        <w:tc>
          <w:tcPr>
            <w:tcW w:type="dxa" w:w="2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Se validan las tarjetas "Préstamos". Confirmar cómo se identifica un crédito de libre inversión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Estados "Cuota venció Hoy" (punto rojo) y "Cuota vence 24 Oct" (punto verde)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"Cuota vencio 1 Jun" (sin tilde) con punto rojo. No se observó ninguna cuota vigente: los créditos de prueba están en mora</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 valida el estado vencido observado. Corregir la tilde y entregar un cliente con cuota vigente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6</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38708</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Texto "Crédito rotativo" con etiqueta verde "Cupo aprobado"</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"Credito Rotativo" (sin tilde, R mayúscula) con "Cupo aprobado". El monto es el mismo en los 4 clientes, incluido un cliente CE sin créditos en la sábana</w:t>
            </w:r>
          </w:p>
        </w:tc>
        <w:tc>
          <w:tcPr>
            <w:tcW w:type="dxa" w:w="2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Se valida el texto observado. Confirmar la tilde y si el monto es un valor fijo del ambiente de certificación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Tarjeta adicional "Cupo rotativo $0,00 · Cuota vencio 1 Jun" (1 de 4 clientes), no descrita en ningún caso</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Definir si corresponde a 38708 o a otro caso</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8</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38702</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En "Tus créditos", opción "crédito aprobado" con el saldo aprobado</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Banner en la parte superior: "Tienes un crédito pre-aprobado ¡Adquiérelo ya!", fuera de "Tus créditos" y sin monto (4 de 4 clientes)</w:t>
            </w:r>
          </w:p>
        </w:tc>
        <w:tc>
          <w:tcPr>
            <w:tcW w:type="dxa" w:w="2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Se valida el banner y se reporta que no muestra el saldo aprobado. Confirmar el diseño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38706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Tarjeta de cuenta corriente en "Tus cuentas"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Ninguno de los 4 clientes tiene cuenta corriente</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Entregar un cliente de prueba con cuenta corriente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10</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38709</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Saldos iguales a la información real del cliente (backend)</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Los montos del Home no coinciden con ninguna columna de saldo de la sábana (CAPITAL, SALDO_ACTUAL, VLR_XPAGAR, entre otras)</w:t>
            </w:r>
          </w:p>
        </w:tc>
        <w:tc>
          <w:tcPr>
            <w:tcW w:type="dxa" w:w="2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El monto esperado se informará en la nueva columna Monto del archivo de control. Definir quién lo entrega desde el backend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38698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Skeletons (marcadores de carga) mientras se obtienen los saldos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 observó el skeleton entre 3 y 4 segundos: primero el encabezado, los accesos y las secciones en gris, luego los productos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Automatizado: valida el indicador "Cargando..." en Tus cuentas y Tus créditos antes de los montos y deja la captura del skeleton. Si el backend responde muy rápido el skeleton puede no alcanzar a verse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GreenSQA · Automatización App Mi Banco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0084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Consolidación de casos de prueba - App Mi Banco</dc:title>
  <dc:creator>GreenSQA</dc:creator>
  <cp:lastModifiedBy>Un-named</cp:lastModifiedBy>
  <cp:revision>1</cp:revision>
  <dcterms:created xsi:type="dcterms:W3CDTF">2026-10-13T01:16:43.604Z</dcterms:created>
  <dcterms:modified xsi:type="dcterms:W3CDTF">2026-10-13T01:16:43.606Z</dcterms:modified>
</cp:coreProperties>
</file>

<file path=docProps/custom.xml><?xml version="1.0" encoding="utf-8"?>
<Properties xmlns="http://schemas.openxmlformats.org/officeDocument/2006/custom-properties" xmlns:vt="http://schemas.openxmlformats.org/officeDocument/2006/docPropsVTypes"/>
</file>