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7BD4E2" w:rsidP="18B6A6D5" w:rsidRDefault="447BD4E2" w14:paraId="27514363" w14:textId="45F52FD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447BD4E2" w:rsidP="18B6A6D5" w:rsidRDefault="447BD4E2" w14:paraId="7C85F03A" w14:textId="0B22F278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18B6A6D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3B299062" w:rsidP="18B6A6D5" w:rsidRDefault="3B299062" w14:paraId="754BA9F9" w14:textId="28E83F0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8B6A6D5" w:rsidR="3B299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18B6A6D5" w:rsidR="3B299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proventos</w:t>
      </w:r>
      <w:r w:rsidRPr="18B6A6D5" w:rsidR="5A039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_fixados</w:t>
      </w:r>
      <w:r w:rsidRPr="18B6A6D5" w:rsidR="3B299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18B6A6D5" w:rsidP="18B6A6D5" w:rsidRDefault="18B6A6D5" w14:paraId="08872DAD" w14:textId="12162F57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18B6A6D5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18B6A6D5" w:rsidR="5DE62FD5">
        <w:rPr>
          <w:rFonts w:ascii="Calibri" w:hAnsi="Calibri" w:eastAsia="Calibri" w:cs="Calibri"/>
          <w:sz w:val="22"/>
          <w:szCs w:val="22"/>
        </w:rPr>
        <w:t>data_atual</w:t>
      </w:r>
      <w:r w:rsidRPr="18B6A6D5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18B6A6D5" w:rsidRDefault="58804345" w14:paraId="7CD525C3" w14:textId="3824D68B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 w:rsidRPr="18B6A6D5" w:rsidR="58804345">
        <w:rPr>
          <w:rFonts w:ascii="Calibri" w:hAnsi="Calibri" w:eastAsia="Calibri" w:cs="Calibri"/>
          <w:b w:val="1"/>
          <w:bCs w:val="1"/>
          <w:sz w:val="22"/>
          <w:szCs w:val="22"/>
        </w:rPr>
        <w:t>Jaime Fontes Vasconcelos</w:t>
      </w:r>
      <w:r>
        <w:br/>
      </w:r>
      <w:r w:rsidRPr="18B6A6D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18B6A6D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18B6A6D5" w:rsidR="3EE99DDD">
        <w:rPr>
          <w:rFonts w:ascii="Calibri" w:hAnsi="Calibri" w:eastAsia="Calibri" w:cs="Calibri"/>
          <w:sz w:val="22"/>
          <w:szCs w:val="22"/>
        </w:rPr>
        <w:t>559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58E755D"/>
    <w:rsid w:val="067F04C7"/>
    <w:rsid w:val="081D42CA"/>
    <w:rsid w:val="09F8F5C5"/>
    <w:rsid w:val="0B960FB3"/>
    <w:rsid w:val="0CAA203E"/>
    <w:rsid w:val="1494D19B"/>
    <w:rsid w:val="15870255"/>
    <w:rsid w:val="1664DE51"/>
    <w:rsid w:val="18B6A6D5"/>
    <w:rsid w:val="18DE8CB5"/>
    <w:rsid w:val="190EF5B5"/>
    <w:rsid w:val="19898A06"/>
    <w:rsid w:val="1AB952D3"/>
    <w:rsid w:val="1B52A1B5"/>
    <w:rsid w:val="1BB06895"/>
    <w:rsid w:val="1BB6554D"/>
    <w:rsid w:val="1DA08383"/>
    <w:rsid w:val="1F7752D1"/>
    <w:rsid w:val="208D75DC"/>
    <w:rsid w:val="227FF023"/>
    <w:rsid w:val="231260D2"/>
    <w:rsid w:val="23D14C3E"/>
    <w:rsid w:val="23EC41C8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EEB4BA9"/>
    <w:rsid w:val="2F02CB3D"/>
    <w:rsid w:val="2FF39236"/>
    <w:rsid w:val="3197E14A"/>
    <w:rsid w:val="31A6CABB"/>
    <w:rsid w:val="31CFA1B5"/>
    <w:rsid w:val="35F815C2"/>
    <w:rsid w:val="369DD1D6"/>
    <w:rsid w:val="36C907E4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26A2C05"/>
    <w:rsid w:val="42D4D9CD"/>
    <w:rsid w:val="447BD4E2"/>
    <w:rsid w:val="46A23C78"/>
    <w:rsid w:val="4B6DBAC9"/>
    <w:rsid w:val="4CA3C2AA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67FF786"/>
    <w:rsid w:val="580761AE"/>
    <w:rsid w:val="58804345"/>
    <w:rsid w:val="58E993F6"/>
    <w:rsid w:val="5A039A2D"/>
    <w:rsid w:val="5AFFFEE1"/>
    <w:rsid w:val="5CA8DE55"/>
    <w:rsid w:val="5DE62FD5"/>
    <w:rsid w:val="5E9C8566"/>
    <w:rsid w:val="5FAC5179"/>
    <w:rsid w:val="5FDFF786"/>
    <w:rsid w:val="60224463"/>
    <w:rsid w:val="60F604C0"/>
    <w:rsid w:val="612D48B8"/>
    <w:rsid w:val="63F1FE10"/>
    <w:rsid w:val="67150CF7"/>
    <w:rsid w:val="67F841A4"/>
    <w:rsid w:val="688587FE"/>
    <w:rsid w:val="689CCB11"/>
    <w:rsid w:val="6919B3B3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8D15D6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13</revision>
  <dcterms:created xsi:type="dcterms:W3CDTF">2025-08-05T12:25:00.0000000Z</dcterms:created>
  <dcterms:modified xsi:type="dcterms:W3CDTF">2025-09-02T16:35:07.9615921Z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