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Lifetime</w:t>
      </w:r>
      <w:r>
        <w:t xml:space="preserve"> </w:t>
      </w:r>
      <w:r>
        <w:t xml:space="preserve">Commissions</w:t>
      </w:r>
      <w:r>
        <w:t xml:space="preserve"> </w:t>
      </w:r>
      <w:r>
        <w:t xml:space="preserve">By</w:t>
      </w:r>
      <w:r>
        <w:t xml:space="preserve"> </w:t>
      </w:r>
      <w:r>
        <w:t xml:space="preserve">Agent</w:t>
      </w:r>
    </w:p>
    <w:p>
      <w:pPr>
        <w:pStyle w:val="FirstParagraph"/>
      </w:pPr>
      <w:r>
        <w:t xml:space="preserve">The data used in this document comes from the AmeriLife data warehouse and the results are compiled from a live</w:t>
      </w:r>
      <w:r>
        <w:t xml:space="preserve"> </w:t>
      </w:r>
      <w:r>
        <w:t xml:space="preserve">extract from the cubes. The data is, thus, accurate up to the previous night's processing.</w:t>
      </w:r>
    </w:p>
    <w:p>
      <w:pPr>
        <w:pStyle w:val="SourceCode"/>
      </w:pPr>
      <w:r>
        <w:rPr>
          <w:rStyle w:val="VerbatimChar"/>
        </w:rPr>
        <w:t xml:space="preserve">## Rows Read: 67281, Total Rows Processed: 67281, Total Chunk Time: 3.491 seconds</w:t>
      </w:r>
    </w:p>
    <w:p>
      <w:pPr>
        <w:pStyle w:val="FirstParagraph"/>
      </w:pPr>
      <w:r>
        <w:t xml:space="preserve">To begin the analysis we will look at the data graphically. We will start with a global summary and drill down into detail following the</w:t>
      </w:r>
      <w:r>
        <w:t xml:space="preserve"> </w:t>
      </w:r>
      <w:r>
        <w:t xml:space="preserve">indications that the data provides. We start with the distribution of lifetime commissions to AmeriLife from all agents;</w:t>
      </w:r>
      <w:r>
        <w:t xml:space="preserve"> </w:t>
      </w:r>
      <w:r>
        <w:t xml:space="preserve">this distribution is derived from the history accumulated in the data warehouse, which starts in the 2013 - 2014 years.</w:t>
      </w:r>
      <w:r>
        <w:t xml:space="preserve"> </w:t>
      </w:r>
      <w:r>
        <w:t xml:space="preserve">The distribution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Commissions range from a low (debt) of about $28,000 to a positive contribution of just over $220,000; the distribution of lifetime agent commisisons</w:t>
      </w:r>
      <w:r>
        <w:t xml:space="preserve"> </w:t>
      </w:r>
      <w:r>
        <w:t xml:space="preserve">is heavily skewed, with a large contingen of agents that either do not contribute revenue to AmeriLife or are a debt burden</w:t>
      </w:r>
      <w:r>
        <w:t xml:space="preserve"> </w:t>
      </w:r>
      <w:r>
        <w:t xml:space="preserve">to the organization. The basic statistics of this distribution are:</w:t>
      </w:r>
    </w:p>
    <w:p>
      <w:pPr>
        <w:pStyle w:val="SourceCode"/>
      </w:pPr>
      <w:r>
        <w:rPr>
          <w:rStyle w:val="CommentTok"/>
        </w:rPr>
        <w:t xml:space="preserve"># Commissions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(df$Commission)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-27990.0      0.0      0.0    478.7    102.0 220500.0</w:t>
      </w:r>
    </w:p>
    <w:p>
      <w:pPr>
        <w:pStyle w:val="FirstParagraph"/>
      </w:pPr>
      <w:r>
        <w:t xml:space="preserve">A manually binned histogram of those commissions by range of revenue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tabular form:</w:t>
      </w:r>
    </w:p>
    <w:p>
      <w:pPr>
        <w:pStyle w:val="SourceCode"/>
      </w:pPr>
      <w:r>
        <w:rPr>
          <w:rStyle w:val="VerbatimChar"/>
        </w:rPr>
        <w:t xml:space="preserve">##    CommissionBinned  Freq</w:t>
      </w:r>
      <w:r>
        <w:br w:type="textWrapping"/>
      </w:r>
      <w:r>
        <w:rPr>
          <w:rStyle w:val="VerbatimChar"/>
        </w:rPr>
        <w:t xml:space="preserve">## 1     Debt 5 to 30k     4</w:t>
      </w:r>
      <w:r>
        <w:br w:type="textWrapping"/>
      </w:r>
      <w:r>
        <w:rPr>
          <w:rStyle w:val="VerbatimChar"/>
        </w:rPr>
        <w:t xml:space="preserve">## 2    Debt 500 to 5k     8</w:t>
      </w:r>
      <w:r>
        <w:br w:type="textWrapping"/>
      </w:r>
      <w:r>
        <w:rPr>
          <w:rStyle w:val="VerbatimChar"/>
        </w:rPr>
        <w:t xml:space="preserve">## 3        Small Debt 43061</w:t>
      </w:r>
      <w:r>
        <w:br w:type="textWrapping"/>
      </w:r>
      <w:r>
        <w:rPr>
          <w:rStyle w:val="VerbatimChar"/>
        </w:rPr>
        <w:t xml:space="preserve">## 4        $0 to $100  7281</w:t>
      </w:r>
      <w:r>
        <w:br w:type="textWrapping"/>
      </w:r>
      <w:r>
        <w:rPr>
          <w:rStyle w:val="VerbatimChar"/>
        </w:rPr>
        <w:t xml:space="preserve">## 5      $100 to $200  3425</w:t>
      </w:r>
      <w:r>
        <w:br w:type="textWrapping"/>
      </w:r>
      <w:r>
        <w:rPr>
          <w:rStyle w:val="VerbatimChar"/>
        </w:rPr>
        <w:t xml:space="preserve">## 6      $200 to $300  2013</w:t>
      </w:r>
      <w:r>
        <w:br w:type="textWrapping"/>
      </w:r>
      <w:r>
        <w:rPr>
          <w:rStyle w:val="VerbatimChar"/>
        </w:rPr>
        <w:t xml:space="preserve">## 7      $300 to $400  1411</w:t>
      </w:r>
      <w:r>
        <w:br w:type="textWrapping"/>
      </w:r>
      <w:r>
        <w:rPr>
          <w:rStyle w:val="VerbatimChar"/>
        </w:rPr>
        <w:t xml:space="preserve">## 8      $400 to $500  1080</w:t>
      </w:r>
      <w:r>
        <w:br w:type="textWrapping"/>
      </w:r>
      <w:r>
        <w:rPr>
          <w:rStyle w:val="VerbatimChar"/>
        </w:rPr>
        <w:t xml:space="preserve">## 9       $500 to $1k  2981</w:t>
      </w:r>
      <w:r>
        <w:br w:type="textWrapping"/>
      </w:r>
      <w:r>
        <w:rPr>
          <w:rStyle w:val="VerbatimChar"/>
        </w:rPr>
        <w:t xml:space="preserve">## 10       $1k to $5k  4582</w:t>
      </w:r>
      <w:r>
        <w:br w:type="textWrapping"/>
      </w:r>
      <w:r>
        <w:rPr>
          <w:rStyle w:val="VerbatimChar"/>
        </w:rPr>
        <w:t xml:space="preserve">## 11        Above $5k  1435</w:t>
      </w:r>
    </w:p>
    <w:p>
      <w:pPr>
        <w:pStyle w:val="FirstParagraph"/>
      </w:pPr>
      <w:r>
        <w:t xml:space="preserve">Given that enrolling an agent to sell for AmeriLife carries an initial estimated cost of $400, it behooves us to find out what are the attributes of</w:t>
      </w:r>
      <w:r>
        <w:t xml:space="preserve"> </w:t>
      </w:r>
      <w:r>
        <w:t xml:space="preserve">agents that are capable of generating more that that amount in revenue through their lifetime.</w:t>
      </w:r>
    </w:p>
    <w:p>
      <w:pPr>
        <w:pStyle w:val="BodyText"/>
      </w:pPr>
      <w:r>
        <w:t xml:space="preserve">Before leaving the analysis of lifetime commissions it is worth noting that at every level of revenue, there appears to be</w:t>
      </w:r>
      <w:r>
        <w:t xml:space="preserve"> </w:t>
      </w:r>
      <w:r>
        <w:t xml:space="preserve">a larger number of direct agents vs. downline agents achieving that revenue. Here are some examples: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range of revenue generation, the proportion of direct vs. downline contracts is mor even than in any other range.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revenue begins to increase, the proportion of direct agents generating the revenue increases with respect tot he</w:t>
      </w:r>
      <w:r>
        <w:t xml:space="preserve"> </w:t>
      </w:r>
      <w:r>
        <w:t xml:space="preserve">downline agents generating the same volume of revenue.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cae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Lifetime Commissions By Agent</dc:title>
  <dc:creator/>
  <dcterms:created xsi:type="dcterms:W3CDTF">2016-11-17T19:08:29Z</dcterms:created>
  <dcterms:modified xsi:type="dcterms:W3CDTF">2016-11-17T19:08:29Z</dcterms:modified>
</cp:coreProperties>
</file>