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AB1D" w14:textId="37865B3D" w:rsidR="007A2FDD" w:rsidRPr="007A2FDD" w:rsidRDefault="007A2FDD" w:rsidP="007A2FDD">
      <w:pPr>
        <w:rPr>
          <w:b/>
          <w:bCs/>
          <w:sz w:val="28"/>
          <w:szCs w:val="28"/>
        </w:rPr>
      </w:pPr>
      <w:r w:rsidRPr="007A2FDD">
        <w:rPr>
          <w:b/>
          <w:bCs/>
          <w:sz w:val="28"/>
          <w:szCs w:val="28"/>
        </w:rPr>
        <w:t>Evaluating Judicial Decision-Making and Court Appearance Outcomes Using A/B Analysis</w:t>
      </w:r>
    </w:p>
    <w:p w14:paraId="24388723" w14:textId="77777777" w:rsidR="007A2FDD" w:rsidRDefault="007A2FDD" w:rsidP="007A2FDD">
      <w:pPr>
        <w:rPr>
          <w:b/>
          <w:bCs/>
        </w:rPr>
      </w:pPr>
    </w:p>
    <w:p w14:paraId="062B0278" w14:textId="77777777" w:rsidR="007A2FDD" w:rsidRPr="007A2FDD" w:rsidRDefault="007A2FDD" w:rsidP="007A2FDD">
      <w:pPr>
        <w:rPr>
          <w:b/>
          <w:bCs/>
        </w:rPr>
      </w:pPr>
      <w:r w:rsidRPr="007A2FDD">
        <w:rPr>
          <w:b/>
          <w:bCs/>
        </w:rPr>
        <w:t>Overview</w:t>
      </w:r>
    </w:p>
    <w:p w14:paraId="3B0A7C40" w14:textId="77777777" w:rsidR="007A2FDD" w:rsidRPr="007A2FDD" w:rsidRDefault="007A2FDD" w:rsidP="007A2FDD">
      <w:r w:rsidRPr="007A2FDD">
        <w:t xml:space="preserve">This project analyzed the </w:t>
      </w:r>
      <w:r w:rsidRPr="00D2678E">
        <w:t>effect of judicial decisions that contradict pretrial recommendations on the rate of Failure to Appear (FTA) in court. Using real booking data from 2020 to 2024, the goal was to determine whether judges who overrule pretrial detention recommendations impact public safety outcomes—specifically whether those defendants are more or less likely</w:t>
      </w:r>
      <w:r w:rsidRPr="007A2FDD">
        <w:t xml:space="preserve"> to miss court.</w:t>
      </w:r>
    </w:p>
    <w:p w14:paraId="1C4D881B" w14:textId="77777777" w:rsidR="007A2FDD" w:rsidRPr="007A2FDD" w:rsidRDefault="00D92E2D" w:rsidP="007A2FDD">
      <w:r>
        <w:pict w14:anchorId="590A5F06">
          <v:rect id="_x0000_i1025" style="width:0;height:1.5pt" o:hralign="center" o:hrstd="t" o:hr="t" fillcolor="#a0a0a0" stroked="f"/>
        </w:pict>
      </w:r>
    </w:p>
    <w:p w14:paraId="656B3A04" w14:textId="77777777" w:rsidR="007A2FDD" w:rsidRPr="007A2FDD" w:rsidRDefault="007A2FDD" w:rsidP="007A2FDD">
      <w:pPr>
        <w:rPr>
          <w:b/>
          <w:bCs/>
        </w:rPr>
      </w:pPr>
      <w:r w:rsidRPr="007A2FDD">
        <w:rPr>
          <w:b/>
          <w:bCs/>
        </w:rPr>
        <w:t>Background &amp; Business Context</w:t>
      </w:r>
    </w:p>
    <w:p w14:paraId="419E7D1A" w14:textId="64D086B5" w:rsidR="00A55856" w:rsidRPr="00A55856" w:rsidRDefault="00A55856" w:rsidP="00A55856">
      <w:r w:rsidRPr="00A55856">
        <w:t>When someone is arrested, the pretrial process begins. One key step is when the probation department assesses the person using a tool called the Virginia Pretrial Risk Assessment Instrument (VPRAI). This tool evaluates the individual’s risk of missing court or committing another offense and generates a risk score from 0 to 9. Based on this score</w:t>
      </w:r>
      <w:r w:rsidR="00824CAE">
        <w:t xml:space="preserve"> and other factors</w:t>
      </w:r>
      <w:r w:rsidRPr="00A55856">
        <w:t>, a recommendation is made—to detain or release the person before trial.</w:t>
      </w:r>
    </w:p>
    <w:p w14:paraId="78321CE4" w14:textId="77777777" w:rsidR="00A55856" w:rsidRPr="00A55856" w:rsidRDefault="00A55856" w:rsidP="00A55856">
      <w:r w:rsidRPr="00A55856">
        <w:t>However, the judge makes the final decision and can choose to either follow or override this recommendation. This project was designed to answer a simple but critical question:</w:t>
      </w:r>
    </w:p>
    <w:p w14:paraId="358B5DDA" w14:textId="77777777" w:rsidR="00A55856" w:rsidRPr="00A55856" w:rsidRDefault="00A55856" w:rsidP="00A55856">
      <w:pPr>
        <w:ind w:left="720"/>
        <w:rPr>
          <w:i/>
          <w:iCs/>
        </w:rPr>
      </w:pPr>
      <w:r w:rsidRPr="00A55856">
        <w:rPr>
          <w:i/>
          <w:iCs/>
        </w:rPr>
        <w:t>Do people released by judges against a recommendation to detain fail to appear in court more often than those released with a recommendation to release?</w:t>
      </w:r>
    </w:p>
    <w:p w14:paraId="0DA75AB9" w14:textId="77777777" w:rsidR="007A2FDD" w:rsidRPr="007A2FDD" w:rsidRDefault="00D92E2D" w:rsidP="007A2FDD">
      <w:r>
        <w:pict w14:anchorId="7DEC554C">
          <v:rect id="_x0000_i1026" style="width:0;height:1.5pt" o:hralign="center" o:hrstd="t" o:hr="t" fillcolor="#a0a0a0" stroked="f"/>
        </w:pict>
      </w:r>
    </w:p>
    <w:p w14:paraId="6850128B" w14:textId="77777777" w:rsidR="007A2FDD" w:rsidRPr="007A2FDD" w:rsidRDefault="007A2FDD" w:rsidP="007A2FDD">
      <w:pPr>
        <w:rPr>
          <w:b/>
          <w:bCs/>
        </w:rPr>
      </w:pPr>
      <w:r w:rsidRPr="007A2FDD">
        <w:rPr>
          <w:b/>
          <w:bCs/>
        </w:rPr>
        <w:t>Data</w:t>
      </w:r>
    </w:p>
    <w:p w14:paraId="5273C469" w14:textId="77777777" w:rsidR="00A55856" w:rsidRPr="00A55856" w:rsidRDefault="00A55856" w:rsidP="00A55856">
      <w:r w:rsidRPr="00A55856">
        <w:t>This analysis used real booking records from 2020 to 2024, including the following fields:</w:t>
      </w:r>
    </w:p>
    <w:p w14:paraId="3E42E3C2" w14:textId="62CAFA9E" w:rsidR="00A55856" w:rsidRPr="00A55856" w:rsidRDefault="00A55856" w:rsidP="00D2678E">
      <w:pPr>
        <w:numPr>
          <w:ilvl w:val="0"/>
          <w:numId w:val="12"/>
        </w:numPr>
        <w:spacing w:after="80"/>
        <w:rPr>
          <w:b/>
          <w:bCs/>
        </w:rPr>
      </w:pPr>
      <w:r w:rsidRPr="00A55856">
        <w:rPr>
          <w:b/>
          <w:bCs/>
        </w:rPr>
        <w:t>A Number</w:t>
      </w:r>
      <w:r w:rsidR="0039156B">
        <w:rPr>
          <w:b/>
          <w:bCs/>
        </w:rPr>
        <w:t xml:space="preserve"> </w:t>
      </w:r>
      <w:r w:rsidR="0039156B" w:rsidRPr="0039156B">
        <w:t>(Client ID)</w:t>
      </w:r>
    </w:p>
    <w:p w14:paraId="27286DBC" w14:textId="77777777" w:rsidR="00A55856" w:rsidRPr="00A55856" w:rsidRDefault="00A55856" w:rsidP="00D2678E">
      <w:pPr>
        <w:numPr>
          <w:ilvl w:val="0"/>
          <w:numId w:val="12"/>
        </w:numPr>
        <w:spacing w:after="80"/>
        <w:rPr>
          <w:b/>
          <w:bCs/>
        </w:rPr>
      </w:pPr>
      <w:r w:rsidRPr="00A55856">
        <w:rPr>
          <w:b/>
          <w:bCs/>
        </w:rPr>
        <w:t>Gender</w:t>
      </w:r>
    </w:p>
    <w:p w14:paraId="55067A1F" w14:textId="77777777" w:rsidR="00A55856" w:rsidRPr="00A55856" w:rsidRDefault="00A55856" w:rsidP="00D2678E">
      <w:pPr>
        <w:numPr>
          <w:ilvl w:val="0"/>
          <w:numId w:val="12"/>
        </w:numPr>
        <w:spacing w:after="80"/>
        <w:rPr>
          <w:b/>
          <w:bCs/>
        </w:rPr>
      </w:pPr>
      <w:r w:rsidRPr="00A55856">
        <w:rPr>
          <w:b/>
          <w:bCs/>
        </w:rPr>
        <w:t>Race</w:t>
      </w:r>
    </w:p>
    <w:p w14:paraId="7487D345" w14:textId="77777777" w:rsidR="00A55856" w:rsidRPr="00A55856" w:rsidRDefault="00A55856" w:rsidP="00D2678E">
      <w:pPr>
        <w:numPr>
          <w:ilvl w:val="0"/>
          <w:numId w:val="12"/>
        </w:numPr>
        <w:spacing w:after="80"/>
        <w:rPr>
          <w:b/>
          <w:bCs/>
        </w:rPr>
      </w:pPr>
      <w:r w:rsidRPr="00A55856">
        <w:rPr>
          <w:b/>
          <w:bCs/>
        </w:rPr>
        <w:t>Age at Booking</w:t>
      </w:r>
    </w:p>
    <w:p w14:paraId="19C1005F" w14:textId="77777777" w:rsidR="00A55856" w:rsidRPr="00A55856" w:rsidRDefault="00A55856" w:rsidP="00D2678E">
      <w:pPr>
        <w:numPr>
          <w:ilvl w:val="0"/>
          <w:numId w:val="12"/>
        </w:numPr>
        <w:spacing w:after="80"/>
        <w:rPr>
          <w:b/>
          <w:bCs/>
        </w:rPr>
      </w:pPr>
      <w:r w:rsidRPr="00A55856">
        <w:rPr>
          <w:b/>
          <w:bCs/>
        </w:rPr>
        <w:t>Booking Date</w:t>
      </w:r>
    </w:p>
    <w:p w14:paraId="1C37EB32" w14:textId="77777777" w:rsidR="00A55856" w:rsidRPr="00A55856" w:rsidRDefault="00A55856" w:rsidP="00D2678E">
      <w:pPr>
        <w:numPr>
          <w:ilvl w:val="0"/>
          <w:numId w:val="12"/>
        </w:numPr>
        <w:spacing w:after="80"/>
      </w:pPr>
      <w:r w:rsidRPr="00A55856">
        <w:rPr>
          <w:b/>
          <w:bCs/>
        </w:rPr>
        <w:t xml:space="preserve">VPRAI Score </w:t>
      </w:r>
      <w:r w:rsidRPr="00A55856">
        <w:t>(0–9)</w:t>
      </w:r>
    </w:p>
    <w:p w14:paraId="284696DC" w14:textId="77777777" w:rsidR="00A55856" w:rsidRPr="00A55856" w:rsidRDefault="00A55856" w:rsidP="00D2678E">
      <w:pPr>
        <w:numPr>
          <w:ilvl w:val="0"/>
          <w:numId w:val="12"/>
        </w:numPr>
        <w:spacing w:after="80"/>
      </w:pPr>
      <w:r w:rsidRPr="00A55856">
        <w:rPr>
          <w:b/>
          <w:bCs/>
        </w:rPr>
        <w:t>Pretrial Recommendation</w:t>
      </w:r>
      <w:r w:rsidRPr="00A55856">
        <w:t xml:space="preserve"> (Detain or Release)</w:t>
      </w:r>
    </w:p>
    <w:p w14:paraId="37164A84" w14:textId="77777777" w:rsidR="00A55856" w:rsidRPr="00A55856" w:rsidRDefault="00A55856" w:rsidP="00D2678E">
      <w:pPr>
        <w:numPr>
          <w:ilvl w:val="0"/>
          <w:numId w:val="12"/>
        </w:numPr>
        <w:spacing w:after="80"/>
      </w:pPr>
      <w:r w:rsidRPr="00A55856">
        <w:rPr>
          <w:b/>
          <w:bCs/>
        </w:rPr>
        <w:lastRenderedPageBreak/>
        <w:t>Judge Followed Recommendation</w:t>
      </w:r>
      <w:r w:rsidRPr="00A55856">
        <w:t xml:space="preserve"> (Yes/No)</w:t>
      </w:r>
    </w:p>
    <w:p w14:paraId="6D358690" w14:textId="77777777" w:rsidR="00A55856" w:rsidRPr="00A55856" w:rsidRDefault="00A55856" w:rsidP="00D2678E">
      <w:pPr>
        <w:numPr>
          <w:ilvl w:val="0"/>
          <w:numId w:val="12"/>
        </w:numPr>
        <w:spacing w:after="80"/>
      </w:pPr>
      <w:r w:rsidRPr="00A55856">
        <w:rPr>
          <w:b/>
          <w:bCs/>
        </w:rPr>
        <w:t>Release Type</w:t>
      </w:r>
      <w:r w:rsidRPr="00A55856">
        <w:t xml:space="preserve"> (Supervised/Unsupervised)</w:t>
      </w:r>
    </w:p>
    <w:p w14:paraId="39782FA2" w14:textId="77777777" w:rsidR="00A55856" w:rsidRPr="00A55856" w:rsidRDefault="00A55856" w:rsidP="00D2678E">
      <w:pPr>
        <w:numPr>
          <w:ilvl w:val="0"/>
          <w:numId w:val="12"/>
        </w:numPr>
        <w:spacing w:after="80"/>
      </w:pPr>
      <w:r w:rsidRPr="00A55856">
        <w:rPr>
          <w:b/>
          <w:bCs/>
        </w:rPr>
        <w:t>FTA</w:t>
      </w:r>
      <w:r w:rsidRPr="00A55856">
        <w:t xml:space="preserve"> (Failure to Appear in court: Yes/No)</w:t>
      </w:r>
    </w:p>
    <w:p w14:paraId="591FE9DA" w14:textId="07E7F37C" w:rsidR="007A2FDD" w:rsidRPr="007A2FDD" w:rsidRDefault="00D92E2D" w:rsidP="007A2FDD">
      <w:r>
        <w:pict w14:anchorId="6E9148EE">
          <v:rect id="_x0000_i1027" style="width:0;height:1.5pt" o:hralign="center" o:hrstd="t" o:hr="t" fillcolor="#a0a0a0" stroked="f"/>
        </w:pict>
      </w:r>
    </w:p>
    <w:p w14:paraId="385B2337" w14:textId="77777777" w:rsidR="007A2FDD" w:rsidRPr="007A2FDD" w:rsidRDefault="007A2FDD" w:rsidP="007A2FDD">
      <w:pPr>
        <w:rPr>
          <w:b/>
          <w:bCs/>
        </w:rPr>
      </w:pPr>
      <w:r w:rsidRPr="007A2FDD">
        <w:rPr>
          <w:b/>
          <w:bCs/>
        </w:rPr>
        <w:t>Methodology</w:t>
      </w:r>
    </w:p>
    <w:p w14:paraId="3E7FEEA7" w14:textId="77777777" w:rsidR="00CC1D23" w:rsidRPr="00CC1D23" w:rsidRDefault="00CC1D23" w:rsidP="00CC1D23">
      <w:r w:rsidRPr="00CC1D23">
        <w:t>This section outlines the steps taken to compare outcomes between two groups and assess whether judicial decisions that go against detention recommendations are statistically associated with higher court no-shows.</w:t>
      </w:r>
    </w:p>
    <w:p w14:paraId="4CF346FF" w14:textId="77777777" w:rsidR="00CC1D23" w:rsidRPr="00CC1D23" w:rsidRDefault="00CC1D23" w:rsidP="00CC1D23">
      <w:pPr>
        <w:numPr>
          <w:ilvl w:val="0"/>
          <w:numId w:val="16"/>
        </w:numPr>
      </w:pPr>
      <w:r w:rsidRPr="00CC1D23">
        <w:rPr>
          <w:b/>
          <w:bCs/>
        </w:rPr>
        <w:t>Data Preparation</w:t>
      </w:r>
      <w:r w:rsidRPr="00CC1D23">
        <w:br/>
        <w:t>Booking records from 2020 to 2024 were filtered and cleaned. Cases where individuals posted bail or had their cases dismissed were excluded to ensure a consistent comparison. Pretrial recommendations were categorized as either Detain or Release.</w:t>
      </w:r>
    </w:p>
    <w:p w14:paraId="2BF785AC" w14:textId="6F14BA4F" w:rsidR="00CC1D23" w:rsidRPr="00CC1D23" w:rsidRDefault="00CC1D23" w:rsidP="00CC1D23">
      <w:pPr>
        <w:numPr>
          <w:ilvl w:val="0"/>
          <w:numId w:val="16"/>
        </w:numPr>
      </w:pPr>
      <w:r w:rsidRPr="00CC1D23">
        <w:rPr>
          <w:b/>
          <w:bCs/>
        </w:rPr>
        <w:t>Group Assignment</w:t>
      </w:r>
      <w:r w:rsidRPr="00CC1D23">
        <w:br/>
        <w:t>Individuals were divided into two groups</w:t>
      </w:r>
      <w:r w:rsidR="00A23D55">
        <w:t>.</w:t>
      </w:r>
    </w:p>
    <w:p w14:paraId="1E7D91D5" w14:textId="2845BBE4" w:rsidR="00391B11" w:rsidRPr="00391B11" w:rsidRDefault="00CC1D23" w:rsidP="00391B11">
      <w:pPr>
        <w:pStyle w:val="ListParagraph"/>
        <w:numPr>
          <w:ilvl w:val="1"/>
          <w:numId w:val="16"/>
        </w:numPr>
        <w:rPr>
          <w:b/>
          <w:bCs/>
        </w:rPr>
      </w:pPr>
      <w:r w:rsidRPr="00391B11">
        <w:rPr>
          <w:b/>
          <w:bCs/>
        </w:rPr>
        <w:t>G</w:t>
      </w:r>
      <w:r w:rsidR="00391B11" w:rsidRPr="00391B11">
        <w:rPr>
          <w:b/>
          <w:bCs/>
        </w:rPr>
        <w:t xml:space="preserve">roup A – Overruled Detain: </w:t>
      </w:r>
      <w:r w:rsidR="00391B11" w:rsidRPr="00391B11">
        <w:t xml:space="preserve">People who were recommended for detention, but the judge chose to release them anyway (either with or without </w:t>
      </w:r>
      <w:r w:rsidR="00D43995">
        <w:t xml:space="preserve">pretrial monitoring </w:t>
      </w:r>
      <w:r w:rsidR="00391B11" w:rsidRPr="00391B11">
        <w:t>supervision).</w:t>
      </w:r>
    </w:p>
    <w:p w14:paraId="4719CE02" w14:textId="77777777" w:rsidR="00391B11" w:rsidRPr="000B7D6F" w:rsidRDefault="00CC1D23" w:rsidP="00391B11">
      <w:pPr>
        <w:pStyle w:val="ListParagraph"/>
        <w:numPr>
          <w:ilvl w:val="1"/>
          <w:numId w:val="16"/>
        </w:numPr>
        <w:rPr>
          <w:b/>
          <w:bCs/>
        </w:rPr>
      </w:pPr>
      <w:r w:rsidRPr="00391B11">
        <w:rPr>
          <w:b/>
          <w:bCs/>
        </w:rPr>
        <w:t>G</w:t>
      </w:r>
      <w:r w:rsidR="00391B11" w:rsidRPr="00391B11">
        <w:rPr>
          <w:b/>
          <w:bCs/>
        </w:rPr>
        <w:t>roup B – Agreed Release:</w:t>
      </w:r>
      <w:r w:rsidR="00391B11" w:rsidRPr="00391B11">
        <w:t xml:space="preserve"> People who were recommended for release, and the judge followed the recommendation.</w:t>
      </w:r>
    </w:p>
    <w:p w14:paraId="62969CDB" w14:textId="31F8ED66" w:rsidR="000B7D6F" w:rsidRPr="000B7D6F" w:rsidRDefault="000B7D6F" w:rsidP="000B7D6F">
      <w:pPr>
        <w:ind w:left="720"/>
      </w:pPr>
      <w:r w:rsidRPr="00A23D55">
        <w:t>By comparing these two groups, we can isolate the impact of a judge’s decision to override the recommendation to detain</w:t>
      </w:r>
      <w:r>
        <w:t>. Group sizes were analyzed</w:t>
      </w:r>
      <w:r w:rsidR="007432D7">
        <w:t xml:space="preserve"> to ensure similarity in demographics.</w:t>
      </w:r>
    </w:p>
    <w:p w14:paraId="3FFE1773" w14:textId="44010974" w:rsidR="00CC1D23" w:rsidRPr="00CC1D23" w:rsidRDefault="00CC1D23" w:rsidP="003F4542">
      <w:pPr>
        <w:numPr>
          <w:ilvl w:val="0"/>
          <w:numId w:val="16"/>
        </w:numPr>
      </w:pPr>
      <w:r w:rsidRPr="00CC1D23">
        <w:rPr>
          <w:b/>
          <w:bCs/>
        </w:rPr>
        <w:t>FTA Rate Calculation</w:t>
      </w:r>
      <w:r w:rsidRPr="00CC1D23">
        <w:br/>
        <w:t>For both groups, we calculated the Failure to Appear (FTA) rate—the percentage of people who missed their court date.</w:t>
      </w:r>
    </w:p>
    <w:p w14:paraId="7AC06204" w14:textId="77777777" w:rsidR="00A23D55" w:rsidRDefault="00CC1D23" w:rsidP="00CC1D23">
      <w:pPr>
        <w:numPr>
          <w:ilvl w:val="0"/>
          <w:numId w:val="16"/>
        </w:numPr>
      </w:pPr>
      <w:r w:rsidRPr="00CC1D23">
        <w:rPr>
          <w:b/>
          <w:bCs/>
        </w:rPr>
        <w:t>Statistical Test – Chi-Squared Test of Independence</w:t>
      </w:r>
      <w:r w:rsidRPr="00CC1D23">
        <w:br/>
        <w:t>To determine whether the difference in FTA rates between the two groups was statistically significant, we used the chi-squared test.</w:t>
      </w:r>
    </w:p>
    <w:p w14:paraId="0602A6D6" w14:textId="77777777" w:rsidR="00A23D55" w:rsidRPr="009328EE" w:rsidRDefault="00CC1D23" w:rsidP="00CC1D23">
      <w:pPr>
        <w:numPr>
          <w:ilvl w:val="1"/>
          <w:numId w:val="16"/>
        </w:numPr>
      </w:pPr>
      <w:r w:rsidRPr="00CC1D23">
        <w:t>The chi-squared test helps us understand whether two categorical variables—in this case, judicial decision group and court appearance—are related.</w:t>
      </w:r>
    </w:p>
    <w:p w14:paraId="22EB90FD" w14:textId="39261BBB" w:rsidR="00CC1D23" w:rsidRPr="00CC1D23" w:rsidRDefault="00CC1D23" w:rsidP="00CC1D23">
      <w:pPr>
        <w:numPr>
          <w:ilvl w:val="1"/>
          <w:numId w:val="16"/>
        </w:numPr>
      </w:pPr>
      <w:r w:rsidRPr="00CC1D23">
        <w:lastRenderedPageBreak/>
        <w:t>The p-value from the test tells us how likely it is that the observed difference happened by chance. A low p-value (typically less than 0.05) suggests the difference is not random and likely reflects a real pattern in the data.</w:t>
      </w:r>
    </w:p>
    <w:p w14:paraId="42260C08" w14:textId="02A5E043" w:rsidR="00CC1D23" w:rsidRPr="00CC1D23" w:rsidRDefault="00CC1D23" w:rsidP="00CC1D23">
      <w:pPr>
        <w:numPr>
          <w:ilvl w:val="0"/>
          <w:numId w:val="16"/>
        </w:numPr>
      </w:pPr>
      <w:r w:rsidRPr="00CC1D23">
        <w:rPr>
          <w:b/>
          <w:bCs/>
        </w:rPr>
        <w:t>Visual Analysis</w:t>
      </w:r>
      <w:r w:rsidRPr="00CC1D23">
        <w:br/>
        <w:t xml:space="preserve">FTA </w:t>
      </w:r>
      <w:r w:rsidR="00E77486">
        <w:t>data</w:t>
      </w:r>
      <w:r w:rsidRPr="00CC1D23">
        <w:t xml:space="preserve"> were also broken down by </w:t>
      </w:r>
      <w:r w:rsidR="00D04E5F">
        <w:t xml:space="preserve">demographics and </w:t>
      </w:r>
      <w:r w:rsidRPr="00CC1D23">
        <w:t xml:space="preserve">VPRAI score to identify </w:t>
      </w:r>
      <w:r w:rsidR="00445B24">
        <w:t>additional patterns.</w:t>
      </w:r>
    </w:p>
    <w:p w14:paraId="012E2513" w14:textId="77777777" w:rsidR="007A2FDD" w:rsidRPr="007A2FDD" w:rsidRDefault="00D92E2D" w:rsidP="007A2FDD">
      <w:r>
        <w:pict w14:anchorId="7E07A3FC">
          <v:rect id="_x0000_i1028" style="width:0;height:1.5pt" o:hralign="center" o:hrstd="t" o:hr="t" fillcolor="#a0a0a0" stroked="f"/>
        </w:pict>
      </w:r>
    </w:p>
    <w:p w14:paraId="6250EF24" w14:textId="77777777" w:rsidR="007A2FDD" w:rsidRDefault="007A2FDD" w:rsidP="007A2FDD">
      <w:pPr>
        <w:rPr>
          <w:b/>
          <w:bCs/>
        </w:rPr>
      </w:pPr>
      <w:r w:rsidRPr="007A2FDD">
        <w:rPr>
          <w:b/>
          <w:bCs/>
        </w:rPr>
        <w:t>Results</w:t>
      </w:r>
    </w:p>
    <w:p w14:paraId="20310E54" w14:textId="75E227CE" w:rsidR="00991F93" w:rsidRPr="00991F93" w:rsidRDefault="00991F93" w:rsidP="007A2FDD">
      <w:r w:rsidRPr="00991F93">
        <w:t>The analysis revealed a strong relationship between judges overriding detention recommendations and increased FTA rates.</w:t>
      </w:r>
    </w:p>
    <w:p w14:paraId="55F31C7B" w14:textId="77777777" w:rsidR="007A2FDD" w:rsidRDefault="007A2FDD" w:rsidP="00991F93">
      <w:pPr>
        <w:ind w:firstLine="720"/>
      </w:pPr>
      <w:r w:rsidRPr="007A2FDD">
        <w:rPr>
          <w:b/>
          <w:bCs/>
        </w:rPr>
        <w:t>FTA Rates</w:t>
      </w:r>
      <w:r w:rsidRPr="007A2FDD">
        <w:t>:</w:t>
      </w:r>
    </w:p>
    <w:p w14:paraId="3D1E9417" w14:textId="5D8C7849" w:rsidR="00991F93" w:rsidRDefault="00991F93" w:rsidP="00991F93">
      <w:pPr>
        <w:numPr>
          <w:ilvl w:val="1"/>
          <w:numId w:val="6"/>
        </w:numPr>
      </w:pPr>
      <w:r w:rsidRPr="00991F93">
        <w:rPr>
          <w:b/>
          <w:bCs/>
        </w:rPr>
        <w:t>Group A (Overruled Detain)</w:t>
      </w:r>
      <w:r>
        <w:t xml:space="preserve">: </w:t>
      </w:r>
      <w:r w:rsidR="00CE373D">
        <w:t xml:space="preserve">3043 individuals, </w:t>
      </w:r>
      <w:r>
        <w:t>18.5% missed cour</w:t>
      </w:r>
      <w:r w:rsidR="00CE373D">
        <w:t>t</w:t>
      </w:r>
    </w:p>
    <w:p w14:paraId="4BC78CA8" w14:textId="62D4E2D2" w:rsidR="00991F93" w:rsidRDefault="00991F93" w:rsidP="00991F93">
      <w:pPr>
        <w:numPr>
          <w:ilvl w:val="1"/>
          <w:numId w:val="6"/>
        </w:numPr>
      </w:pPr>
      <w:r w:rsidRPr="00991F93">
        <w:rPr>
          <w:b/>
          <w:bCs/>
        </w:rPr>
        <w:t>Group B (Agreed Release)</w:t>
      </w:r>
      <w:r>
        <w:t xml:space="preserve">: </w:t>
      </w:r>
      <w:r w:rsidR="00CE373D">
        <w:t xml:space="preserve">2603 individuals, </w:t>
      </w:r>
      <w:r>
        <w:t>9.5% missed court</w:t>
      </w:r>
    </w:p>
    <w:p w14:paraId="178D36BD" w14:textId="281CA6E2" w:rsidR="00991F93" w:rsidRPr="00991F93" w:rsidRDefault="00991F93" w:rsidP="00991F93">
      <w:r w:rsidRPr="00991F93">
        <w:t>This shows that people released against a detention recommendation were nearly twice as likely to miss court as those released in alignment with pretrial guidance.</w:t>
      </w:r>
    </w:p>
    <w:p w14:paraId="6BBAA30D" w14:textId="77777777" w:rsidR="007A2FDD" w:rsidRPr="007A2FDD" w:rsidRDefault="007A2FDD" w:rsidP="00991F93">
      <w:pPr>
        <w:ind w:left="720"/>
      </w:pPr>
      <w:r w:rsidRPr="007A2FDD">
        <w:rPr>
          <w:b/>
          <w:bCs/>
        </w:rPr>
        <w:t>Statistical Test</w:t>
      </w:r>
      <w:r w:rsidRPr="007A2FDD">
        <w:t>:</w:t>
      </w:r>
    </w:p>
    <w:p w14:paraId="720E0AC1" w14:textId="77777777" w:rsidR="007A2FDD" w:rsidRPr="007A2FDD" w:rsidRDefault="007A2FDD" w:rsidP="007A2FDD">
      <w:pPr>
        <w:numPr>
          <w:ilvl w:val="1"/>
          <w:numId w:val="6"/>
        </w:numPr>
      </w:pPr>
      <w:r w:rsidRPr="007A2FDD">
        <w:rPr>
          <w:b/>
          <w:bCs/>
        </w:rPr>
        <w:t xml:space="preserve">Chi-squared </w:t>
      </w:r>
      <w:proofErr w:type="gramStart"/>
      <w:r w:rsidRPr="007A2FDD">
        <w:rPr>
          <w:b/>
          <w:bCs/>
        </w:rPr>
        <w:t>statistic</w:t>
      </w:r>
      <w:proofErr w:type="gramEnd"/>
      <w:r w:rsidRPr="007A2FDD">
        <w:t>: 91.12</w:t>
      </w:r>
    </w:p>
    <w:p w14:paraId="1FBF70A5" w14:textId="77777777" w:rsidR="007A2FDD" w:rsidRDefault="007A2FDD" w:rsidP="007A2FDD">
      <w:pPr>
        <w:numPr>
          <w:ilvl w:val="1"/>
          <w:numId w:val="6"/>
        </w:numPr>
      </w:pPr>
      <w:r w:rsidRPr="007A2FDD">
        <w:rPr>
          <w:b/>
          <w:bCs/>
        </w:rPr>
        <w:t>p-value</w:t>
      </w:r>
      <w:r w:rsidRPr="007A2FDD">
        <w:t>: &lt; 0.0001</w:t>
      </w:r>
    </w:p>
    <w:p w14:paraId="3061B800" w14:textId="179EF5B2" w:rsidR="00991F93" w:rsidRDefault="00991F93" w:rsidP="00991F93">
      <w:r w:rsidRPr="00B14D31">
        <w:t>Because the p-value is extremely low, we can say with high confidence that the difference in FTA rates is not due to chance. There</w:t>
      </w:r>
      <w:r w:rsidRPr="00991F93">
        <w:t xml:space="preserve"> is a statistically significant link between judicial decisions that contradict detention recommendations and a higher likelihood of individuals failing to appear in court.</w:t>
      </w:r>
    </w:p>
    <w:p w14:paraId="442AC893" w14:textId="79C28609" w:rsidR="00C71786" w:rsidRPr="007A2FDD" w:rsidRDefault="00C71786" w:rsidP="00991F93">
      <w:r>
        <w:pict w14:anchorId="385D98FA">
          <v:rect id="_x0000_i1030" style="width:0;height:1.5pt" o:hralign="center" o:hrstd="t" o:hr="t" fillcolor="#a0a0a0" stroked="f"/>
        </w:pict>
      </w:r>
    </w:p>
    <w:p w14:paraId="28FEB2A6" w14:textId="06DFB912" w:rsidR="00F621EE" w:rsidRDefault="007249D2" w:rsidP="00C71786">
      <w:pPr>
        <w:rPr>
          <w:b/>
          <w:bCs/>
        </w:rPr>
      </w:pPr>
      <w:r>
        <w:rPr>
          <w:b/>
          <w:bCs/>
        </w:rPr>
        <w:t xml:space="preserve">Conclusion and </w:t>
      </w:r>
      <w:r w:rsidR="00F621EE" w:rsidRPr="00F621EE">
        <w:rPr>
          <w:b/>
          <w:bCs/>
        </w:rPr>
        <w:t>Key Findings</w:t>
      </w:r>
    </w:p>
    <w:p w14:paraId="21ABB9BD" w14:textId="04502193" w:rsidR="00712D4D" w:rsidRPr="00712D4D" w:rsidRDefault="00712D4D" w:rsidP="00C71786">
      <w:r w:rsidRPr="00712D4D">
        <w:t>This analysis highlights the real-world impact of judicial decisions that go against pretrial detention recommendations.</w:t>
      </w:r>
    </w:p>
    <w:p w14:paraId="7938C8F0" w14:textId="19F08238" w:rsidR="00712D4D" w:rsidRDefault="00712D4D" w:rsidP="00712D4D">
      <w:pPr>
        <w:pStyle w:val="ListParagraph"/>
        <w:numPr>
          <w:ilvl w:val="0"/>
          <w:numId w:val="24"/>
        </w:numPr>
      </w:pPr>
      <w:r w:rsidRPr="00712D4D">
        <w:rPr>
          <w:b/>
          <w:bCs/>
        </w:rPr>
        <w:t>Court Nonappearance Doubles When Detention Is Overruled</w:t>
      </w:r>
    </w:p>
    <w:p w14:paraId="4987A317" w14:textId="06BC19DC" w:rsidR="00712D4D" w:rsidRPr="00712D4D" w:rsidRDefault="00712D4D" w:rsidP="00712D4D">
      <w:pPr>
        <w:numPr>
          <w:ilvl w:val="0"/>
          <w:numId w:val="21"/>
        </w:numPr>
      </w:pPr>
      <w:r w:rsidRPr="00712D4D">
        <w:t>When judges agreed with pretrial release recommendations, about 1 in 10 individuals missed court.</w:t>
      </w:r>
    </w:p>
    <w:p w14:paraId="73889241" w14:textId="77777777" w:rsidR="00712D4D" w:rsidRPr="00712D4D" w:rsidRDefault="00712D4D" w:rsidP="00712D4D">
      <w:pPr>
        <w:numPr>
          <w:ilvl w:val="0"/>
          <w:numId w:val="21"/>
        </w:numPr>
      </w:pPr>
      <w:r w:rsidRPr="00712D4D">
        <w:lastRenderedPageBreak/>
        <w:t>When judges overruled detention recommendations and released individuals, nearly 1 in 5 failed to appear.</w:t>
      </w:r>
    </w:p>
    <w:p w14:paraId="595FACD7" w14:textId="0C5AD042" w:rsidR="00712D4D" w:rsidRPr="00712D4D" w:rsidRDefault="00712D4D" w:rsidP="00712D4D">
      <w:pPr>
        <w:numPr>
          <w:ilvl w:val="0"/>
          <w:numId w:val="21"/>
        </w:numPr>
      </w:pPr>
      <w:r w:rsidRPr="00712D4D">
        <w:t>This suggests that pretrial recommendations</w:t>
      </w:r>
      <w:r w:rsidR="00584746">
        <w:t xml:space="preserve">, which are primarily driven from the VPRAI score, </w:t>
      </w:r>
      <w:r w:rsidRPr="00712D4D">
        <w:t xml:space="preserve">are </w:t>
      </w:r>
      <w:r w:rsidR="00584746">
        <w:t xml:space="preserve">trustworthy </w:t>
      </w:r>
      <w:r w:rsidRPr="00712D4D">
        <w:t>for reducing FTA and promoting court compliance.</w:t>
      </w:r>
    </w:p>
    <w:p w14:paraId="46769D3B" w14:textId="7868640C" w:rsidR="00712D4D" w:rsidRPr="00712D4D" w:rsidRDefault="00712D4D" w:rsidP="00712D4D">
      <w:pPr>
        <w:pStyle w:val="ListParagraph"/>
        <w:numPr>
          <w:ilvl w:val="0"/>
          <w:numId w:val="24"/>
        </w:numPr>
      </w:pPr>
      <w:r w:rsidRPr="00712D4D">
        <w:rPr>
          <w:b/>
          <w:bCs/>
        </w:rPr>
        <w:t>Risk Level Matters: VPRAI Score Drives the Pattern</w:t>
      </w:r>
    </w:p>
    <w:p w14:paraId="31600B94" w14:textId="519F0C81" w:rsidR="00712D4D" w:rsidRPr="00712D4D" w:rsidRDefault="00712D4D" w:rsidP="00352C54">
      <w:pPr>
        <w:numPr>
          <w:ilvl w:val="0"/>
          <w:numId w:val="22"/>
        </w:numPr>
      </w:pPr>
      <w:r w:rsidRPr="00712D4D">
        <w:t>The elevated FTA rate in Group A was mostly due to individuals with a VPRAI score of 5 or higher.</w:t>
      </w:r>
    </w:p>
    <w:p w14:paraId="4CA8FAB1" w14:textId="77777777" w:rsidR="00712D4D" w:rsidRPr="00712D4D" w:rsidRDefault="00712D4D" w:rsidP="00712D4D">
      <w:pPr>
        <w:numPr>
          <w:ilvl w:val="0"/>
          <w:numId w:val="22"/>
        </w:numPr>
      </w:pPr>
      <w:r w:rsidRPr="00712D4D">
        <w:t>Among individuals with VPRAI scores below 5, the judge’s decision to overrule detention did not show a significant increase in FTA.</w:t>
      </w:r>
    </w:p>
    <w:p w14:paraId="09A62E8C" w14:textId="77777777" w:rsidR="00712D4D" w:rsidRPr="00712D4D" w:rsidRDefault="00712D4D" w:rsidP="00712D4D">
      <w:pPr>
        <w:numPr>
          <w:ilvl w:val="0"/>
          <w:numId w:val="22"/>
        </w:numPr>
      </w:pPr>
      <w:r w:rsidRPr="00712D4D">
        <w:t>This underscores the importance of detaining individuals with scores above 4, where risk is clearly identified by the validated VPRAI tool.</w:t>
      </w:r>
    </w:p>
    <w:p w14:paraId="475466F5" w14:textId="1C869924" w:rsidR="00712D4D" w:rsidRPr="00712D4D" w:rsidRDefault="00712D4D" w:rsidP="00712D4D">
      <w:pPr>
        <w:pStyle w:val="ListParagraph"/>
        <w:numPr>
          <w:ilvl w:val="0"/>
          <w:numId w:val="24"/>
        </w:numPr>
      </w:pPr>
      <w:r w:rsidRPr="00712D4D">
        <w:rPr>
          <w:b/>
          <w:bCs/>
        </w:rPr>
        <w:t>Implication for Judicial Practice</w:t>
      </w:r>
    </w:p>
    <w:p w14:paraId="0BFEA464" w14:textId="77777777" w:rsidR="00712D4D" w:rsidRPr="00712D4D" w:rsidRDefault="00712D4D" w:rsidP="00712D4D">
      <w:pPr>
        <w:numPr>
          <w:ilvl w:val="0"/>
          <w:numId w:val="23"/>
        </w:numPr>
      </w:pPr>
      <w:r w:rsidRPr="00712D4D">
        <w:t xml:space="preserve">These findings support greater adherence to validated pretrial risk </w:t>
      </w:r>
      <w:proofErr w:type="gramStart"/>
      <w:r w:rsidRPr="00712D4D">
        <w:t>assessments—</w:t>
      </w:r>
      <w:proofErr w:type="gramEnd"/>
      <w:r w:rsidRPr="00712D4D">
        <w:t>especially for high-risk individuals.</w:t>
      </w:r>
    </w:p>
    <w:p w14:paraId="42F54C92" w14:textId="77777777" w:rsidR="00712D4D" w:rsidRPr="00712D4D" w:rsidRDefault="00712D4D" w:rsidP="00712D4D">
      <w:pPr>
        <w:numPr>
          <w:ilvl w:val="0"/>
          <w:numId w:val="23"/>
        </w:numPr>
      </w:pPr>
      <w:r w:rsidRPr="00712D4D">
        <w:t>Improving alignment between pretrial recommendations and judicial decisions may reduce missed court appearances and support safer pretrial practices.</w:t>
      </w:r>
    </w:p>
    <w:p w14:paraId="79E99ADB" w14:textId="53FCEC92" w:rsidR="00C70786" w:rsidRDefault="00D92E2D">
      <w:r>
        <w:pict w14:anchorId="20D9862B">
          <v:rect id="_x0000_i1029" style="width:0;height:1.5pt" o:hralign="center" o:hrstd="t" o:hr="t" fillcolor="#a0a0a0" stroked="f"/>
        </w:pict>
      </w:r>
    </w:p>
    <w:p w14:paraId="7F9794CB" w14:textId="61EDD639" w:rsidR="00A40156" w:rsidRDefault="00A40156">
      <w:pPr>
        <w:rPr>
          <w:b/>
          <w:bCs/>
        </w:rPr>
      </w:pPr>
      <w:r>
        <w:rPr>
          <w:b/>
          <w:bCs/>
        </w:rPr>
        <w:t>Visuals</w:t>
      </w:r>
    </w:p>
    <w:p w14:paraId="6D48A0FD" w14:textId="543791C8" w:rsidR="00A40156" w:rsidRDefault="00A40156">
      <w:r w:rsidRPr="00A40156">
        <w:t>The charts below illustrate key patterns and findings from the analysis</w:t>
      </w:r>
      <w:r w:rsidR="004F7396">
        <w:t>.</w:t>
      </w:r>
    </w:p>
    <w:p w14:paraId="7906A35D" w14:textId="6447A0F1" w:rsidR="00CE373D" w:rsidRDefault="001F1F24" w:rsidP="00CE373D">
      <w:pPr>
        <w:jc w:val="center"/>
      </w:pPr>
      <w:r w:rsidRPr="00CE373D">
        <w:rPr>
          <w:noProof/>
        </w:rPr>
        <w:drawing>
          <wp:anchor distT="0" distB="0" distL="114300" distR="114300" simplePos="0" relativeHeight="251658240" behindDoc="0" locked="0" layoutInCell="1" allowOverlap="1" wp14:anchorId="366C0F5F" wp14:editId="2AF62DB8">
            <wp:simplePos x="0" y="0"/>
            <wp:positionH relativeFrom="margin">
              <wp:align>center</wp:align>
            </wp:positionH>
            <wp:positionV relativeFrom="paragraph">
              <wp:posOffset>258156</wp:posOffset>
            </wp:positionV>
            <wp:extent cx="3564890" cy="2649220"/>
            <wp:effectExtent l="0" t="0" r="0" b="0"/>
            <wp:wrapSquare wrapText="bothSides"/>
            <wp:docPr id="853490863" name="Picture 1" descr="Chart, lin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90863" name="Picture 1" descr="Chart, line cha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564890" cy="2649220"/>
                    </a:xfrm>
                    <a:prstGeom prst="rect">
                      <a:avLst/>
                    </a:prstGeom>
                  </pic:spPr>
                </pic:pic>
              </a:graphicData>
            </a:graphic>
            <wp14:sizeRelH relativeFrom="margin">
              <wp14:pctWidth>0</wp14:pctWidth>
            </wp14:sizeRelH>
            <wp14:sizeRelV relativeFrom="margin">
              <wp14:pctHeight>0</wp14:pctHeight>
            </wp14:sizeRelV>
          </wp:anchor>
        </w:drawing>
      </w:r>
    </w:p>
    <w:p w14:paraId="187783BC" w14:textId="5AA83AE5" w:rsidR="00CE373D" w:rsidRDefault="00CE373D" w:rsidP="00CE373D">
      <w:pPr>
        <w:jc w:val="center"/>
      </w:pPr>
    </w:p>
    <w:p w14:paraId="3B6A14B1" w14:textId="26AA09D3" w:rsidR="00CE373D" w:rsidRDefault="00CE373D" w:rsidP="00CE373D">
      <w:pPr>
        <w:jc w:val="center"/>
      </w:pPr>
    </w:p>
    <w:p w14:paraId="093DE707" w14:textId="38EDA2C5" w:rsidR="00CE373D" w:rsidRDefault="00CE373D" w:rsidP="00CE373D">
      <w:pPr>
        <w:jc w:val="center"/>
      </w:pPr>
    </w:p>
    <w:p w14:paraId="0BB98C8C" w14:textId="170BE53D" w:rsidR="00CE373D" w:rsidRDefault="00CE373D" w:rsidP="00CE373D">
      <w:pPr>
        <w:jc w:val="center"/>
      </w:pPr>
    </w:p>
    <w:p w14:paraId="321BB188" w14:textId="2F441335" w:rsidR="00CE373D" w:rsidRDefault="00CE373D" w:rsidP="00CE373D">
      <w:pPr>
        <w:jc w:val="center"/>
      </w:pPr>
    </w:p>
    <w:p w14:paraId="463D0A67" w14:textId="02DF2FAF" w:rsidR="00CE373D" w:rsidRDefault="00CE373D" w:rsidP="00CE373D">
      <w:pPr>
        <w:jc w:val="center"/>
      </w:pPr>
    </w:p>
    <w:p w14:paraId="26D3D975" w14:textId="7B0A6FF3" w:rsidR="00CE373D" w:rsidRDefault="001F1F24" w:rsidP="001F1F24">
      <w:r w:rsidRPr="00CE373D">
        <w:rPr>
          <w:noProof/>
        </w:rPr>
        <w:lastRenderedPageBreak/>
        <w:drawing>
          <wp:anchor distT="0" distB="0" distL="114300" distR="114300" simplePos="0" relativeHeight="251659264" behindDoc="0" locked="0" layoutInCell="1" allowOverlap="1" wp14:anchorId="22A068B5" wp14:editId="2B07D77F">
            <wp:simplePos x="0" y="0"/>
            <wp:positionH relativeFrom="margin">
              <wp:align>center</wp:align>
            </wp:positionH>
            <wp:positionV relativeFrom="paragraph">
              <wp:posOffset>41275</wp:posOffset>
            </wp:positionV>
            <wp:extent cx="3522345" cy="2736850"/>
            <wp:effectExtent l="0" t="0" r="1905" b="6350"/>
            <wp:wrapSquare wrapText="bothSides"/>
            <wp:docPr id="1615616704" name="Picture 1" descr="Chart, lin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16704" name="Picture 1" descr="Chart, line char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522345" cy="2736850"/>
                    </a:xfrm>
                    <a:prstGeom prst="rect">
                      <a:avLst/>
                    </a:prstGeom>
                  </pic:spPr>
                </pic:pic>
              </a:graphicData>
            </a:graphic>
            <wp14:sizeRelH relativeFrom="margin">
              <wp14:pctWidth>0</wp14:pctWidth>
            </wp14:sizeRelH>
            <wp14:sizeRelV relativeFrom="margin">
              <wp14:pctHeight>0</wp14:pctHeight>
            </wp14:sizeRelV>
          </wp:anchor>
        </w:drawing>
      </w:r>
    </w:p>
    <w:p w14:paraId="4151271E" w14:textId="72F2B003" w:rsidR="00CE373D" w:rsidRDefault="00CE373D" w:rsidP="00CE373D">
      <w:pPr>
        <w:jc w:val="center"/>
      </w:pPr>
    </w:p>
    <w:p w14:paraId="4D3FAFE5" w14:textId="1D69DE41" w:rsidR="00CE373D" w:rsidRDefault="00CE373D" w:rsidP="00CE373D">
      <w:pPr>
        <w:jc w:val="center"/>
      </w:pPr>
    </w:p>
    <w:p w14:paraId="382AA60D" w14:textId="77777777" w:rsidR="00CE373D" w:rsidRDefault="00CE373D" w:rsidP="00CE373D">
      <w:pPr>
        <w:jc w:val="center"/>
      </w:pPr>
    </w:p>
    <w:p w14:paraId="132528DB" w14:textId="794E62B7" w:rsidR="00CE373D" w:rsidRDefault="00CE373D" w:rsidP="00CE373D">
      <w:pPr>
        <w:jc w:val="center"/>
      </w:pPr>
    </w:p>
    <w:p w14:paraId="0D73E824" w14:textId="0143D0E1" w:rsidR="00CE373D" w:rsidRDefault="00CE373D" w:rsidP="00CE373D">
      <w:pPr>
        <w:jc w:val="center"/>
      </w:pPr>
    </w:p>
    <w:p w14:paraId="59EFE05F" w14:textId="0CDCCCDC" w:rsidR="00CE373D" w:rsidRDefault="00CE373D" w:rsidP="00CE373D">
      <w:pPr>
        <w:jc w:val="center"/>
      </w:pPr>
    </w:p>
    <w:p w14:paraId="4E53D339" w14:textId="0231D6C2" w:rsidR="00CE373D" w:rsidRDefault="00CE373D" w:rsidP="00CE373D">
      <w:pPr>
        <w:jc w:val="center"/>
      </w:pPr>
    </w:p>
    <w:p w14:paraId="6C82409C" w14:textId="1622A0E8" w:rsidR="00CE373D" w:rsidRDefault="00CE373D" w:rsidP="00CE373D">
      <w:pPr>
        <w:jc w:val="center"/>
      </w:pPr>
    </w:p>
    <w:p w14:paraId="7646CFD2" w14:textId="4C8F4705" w:rsidR="00CE373D" w:rsidRDefault="00CE373D" w:rsidP="00CE373D">
      <w:pPr>
        <w:jc w:val="center"/>
      </w:pPr>
    </w:p>
    <w:p w14:paraId="27078F2E" w14:textId="2FA478E3" w:rsidR="00CE373D" w:rsidRDefault="001F1F24" w:rsidP="00CE373D">
      <w:pPr>
        <w:jc w:val="center"/>
      </w:pPr>
      <w:r w:rsidRPr="00CE373D">
        <w:rPr>
          <w:noProof/>
        </w:rPr>
        <w:drawing>
          <wp:anchor distT="0" distB="0" distL="114300" distR="114300" simplePos="0" relativeHeight="251660288" behindDoc="0" locked="0" layoutInCell="1" allowOverlap="1" wp14:anchorId="6C28FC47" wp14:editId="53BE6FC9">
            <wp:simplePos x="0" y="0"/>
            <wp:positionH relativeFrom="margin">
              <wp:align>center</wp:align>
            </wp:positionH>
            <wp:positionV relativeFrom="paragraph">
              <wp:posOffset>162444</wp:posOffset>
            </wp:positionV>
            <wp:extent cx="3549015" cy="2781935"/>
            <wp:effectExtent l="0" t="0" r="0" b="0"/>
            <wp:wrapSquare wrapText="bothSides"/>
            <wp:docPr id="123707107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71076" name="Picture 1" descr="Chart, bar 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549015" cy="2781935"/>
                    </a:xfrm>
                    <a:prstGeom prst="rect">
                      <a:avLst/>
                    </a:prstGeom>
                  </pic:spPr>
                </pic:pic>
              </a:graphicData>
            </a:graphic>
            <wp14:sizeRelH relativeFrom="margin">
              <wp14:pctWidth>0</wp14:pctWidth>
            </wp14:sizeRelH>
            <wp14:sizeRelV relativeFrom="margin">
              <wp14:pctHeight>0</wp14:pctHeight>
            </wp14:sizeRelV>
          </wp:anchor>
        </w:drawing>
      </w:r>
    </w:p>
    <w:p w14:paraId="44CB9C08" w14:textId="5EEB432D" w:rsidR="00CE373D" w:rsidRDefault="00CE373D" w:rsidP="00CE373D">
      <w:pPr>
        <w:jc w:val="center"/>
      </w:pPr>
    </w:p>
    <w:p w14:paraId="3EBC2D11" w14:textId="1220235A" w:rsidR="00CE373D" w:rsidRDefault="00CE373D" w:rsidP="00CE373D">
      <w:pPr>
        <w:jc w:val="center"/>
      </w:pPr>
    </w:p>
    <w:p w14:paraId="7C96590B" w14:textId="57EF2251" w:rsidR="00CE373D" w:rsidRDefault="00CE373D" w:rsidP="00CE373D">
      <w:pPr>
        <w:jc w:val="center"/>
      </w:pPr>
    </w:p>
    <w:p w14:paraId="51CC27BA" w14:textId="25183F49" w:rsidR="00CE373D" w:rsidRDefault="00CE373D" w:rsidP="00CE373D">
      <w:pPr>
        <w:jc w:val="center"/>
      </w:pPr>
    </w:p>
    <w:p w14:paraId="134D5576" w14:textId="4AC08A9C" w:rsidR="00CE373D" w:rsidRDefault="00CE373D" w:rsidP="00CE373D">
      <w:pPr>
        <w:jc w:val="center"/>
      </w:pPr>
    </w:p>
    <w:p w14:paraId="22FA2F34" w14:textId="7A8D2082" w:rsidR="00CE373D" w:rsidRDefault="00CE373D" w:rsidP="00CE373D">
      <w:pPr>
        <w:jc w:val="center"/>
      </w:pPr>
    </w:p>
    <w:p w14:paraId="393A2B1F" w14:textId="59AADEB4" w:rsidR="00CE373D" w:rsidRDefault="00CE373D" w:rsidP="00CE373D">
      <w:pPr>
        <w:jc w:val="center"/>
      </w:pPr>
    </w:p>
    <w:p w14:paraId="7E4EE183" w14:textId="389DB22F" w:rsidR="00CE373D" w:rsidRDefault="00CE373D" w:rsidP="00CE373D">
      <w:pPr>
        <w:jc w:val="center"/>
      </w:pPr>
    </w:p>
    <w:p w14:paraId="12E67B4B" w14:textId="77777777" w:rsidR="00CE373D" w:rsidRDefault="00CE373D" w:rsidP="00CE373D">
      <w:pPr>
        <w:jc w:val="center"/>
      </w:pPr>
    </w:p>
    <w:p w14:paraId="44E17226" w14:textId="77777777" w:rsidR="00CE373D" w:rsidRDefault="00CE373D" w:rsidP="00CE373D">
      <w:pPr>
        <w:jc w:val="center"/>
      </w:pPr>
    </w:p>
    <w:p w14:paraId="43018B86" w14:textId="77777777" w:rsidR="00CE373D" w:rsidRDefault="00CE373D" w:rsidP="00CE373D">
      <w:pPr>
        <w:jc w:val="center"/>
      </w:pPr>
    </w:p>
    <w:p w14:paraId="4C4F0F5C" w14:textId="77777777" w:rsidR="00CE373D" w:rsidRDefault="00CE373D" w:rsidP="00CE373D">
      <w:pPr>
        <w:jc w:val="center"/>
      </w:pPr>
    </w:p>
    <w:p w14:paraId="6466141E" w14:textId="77777777" w:rsidR="00CE373D" w:rsidRDefault="00CE373D" w:rsidP="00CE373D">
      <w:pPr>
        <w:jc w:val="center"/>
      </w:pPr>
    </w:p>
    <w:p w14:paraId="2363CE52" w14:textId="77777777" w:rsidR="00CE373D" w:rsidRDefault="00CE373D" w:rsidP="00CE373D">
      <w:pPr>
        <w:jc w:val="center"/>
      </w:pPr>
    </w:p>
    <w:p w14:paraId="5767589E" w14:textId="77777777" w:rsidR="00CE373D" w:rsidRDefault="00CE373D" w:rsidP="00CE373D">
      <w:pPr>
        <w:jc w:val="center"/>
      </w:pPr>
    </w:p>
    <w:p w14:paraId="7A52985E" w14:textId="138774E7" w:rsidR="00CE373D" w:rsidRDefault="00CE373D" w:rsidP="00CE373D">
      <w:pPr>
        <w:jc w:val="center"/>
      </w:pPr>
      <w:r w:rsidRPr="00CE373D">
        <w:rPr>
          <w:noProof/>
        </w:rPr>
        <w:lastRenderedPageBreak/>
        <w:drawing>
          <wp:anchor distT="0" distB="0" distL="114300" distR="114300" simplePos="0" relativeHeight="251661312" behindDoc="0" locked="0" layoutInCell="1" allowOverlap="1" wp14:anchorId="2AC684B1" wp14:editId="19187AE8">
            <wp:simplePos x="0" y="0"/>
            <wp:positionH relativeFrom="margin">
              <wp:align>center</wp:align>
            </wp:positionH>
            <wp:positionV relativeFrom="paragraph">
              <wp:posOffset>116</wp:posOffset>
            </wp:positionV>
            <wp:extent cx="3533140" cy="2630805"/>
            <wp:effectExtent l="0" t="0" r="0" b="0"/>
            <wp:wrapSquare wrapText="bothSides"/>
            <wp:docPr id="979001586"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01586" name="Picture 1" descr="Chart, bar 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533140" cy="2630805"/>
                    </a:xfrm>
                    <a:prstGeom prst="rect">
                      <a:avLst/>
                    </a:prstGeom>
                  </pic:spPr>
                </pic:pic>
              </a:graphicData>
            </a:graphic>
            <wp14:sizeRelH relativeFrom="margin">
              <wp14:pctWidth>0</wp14:pctWidth>
            </wp14:sizeRelH>
            <wp14:sizeRelV relativeFrom="margin">
              <wp14:pctHeight>0</wp14:pctHeight>
            </wp14:sizeRelV>
          </wp:anchor>
        </w:drawing>
      </w:r>
    </w:p>
    <w:p w14:paraId="666C02AF" w14:textId="76C583A5" w:rsidR="00CE373D" w:rsidRDefault="00CE373D" w:rsidP="00CE373D">
      <w:pPr>
        <w:jc w:val="center"/>
      </w:pPr>
    </w:p>
    <w:p w14:paraId="6ECF25FE" w14:textId="5D47BBFB" w:rsidR="00CE373D" w:rsidRDefault="00CE373D" w:rsidP="00CE373D">
      <w:pPr>
        <w:jc w:val="center"/>
      </w:pPr>
    </w:p>
    <w:p w14:paraId="17C7FC1D" w14:textId="601AFE1E" w:rsidR="00CE373D" w:rsidRDefault="00CE373D" w:rsidP="00CE373D">
      <w:pPr>
        <w:jc w:val="center"/>
      </w:pPr>
    </w:p>
    <w:p w14:paraId="4C0C28CA" w14:textId="374D83F8" w:rsidR="00CE373D" w:rsidRDefault="00CE373D" w:rsidP="00CE373D">
      <w:pPr>
        <w:jc w:val="center"/>
      </w:pPr>
    </w:p>
    <w:p w14:paraId="675048AC" w14:textId="424EC863" w:rsidR="00CE373D" w:rsidRDefault="00CE373D" w:rsidP="00CE373D">
      <w:pPr>
        <w:jc w:val="center"/>
      </w:pPr>
    </w:p>
    <w:p w14:paraId="4F6DE5AF" w14:textId="4237BD1A" w:rsidR="00CE373D" w:rsidRDefault="00CE373D" w:rsidP="00CE373D">
      <w:pPr>
        <w:jc w:val="center"/>
      </w:pPr>
    </w:p>
    <w:p w14:paraId="22A503B6" w14:textId="063C95D2" w:rsidR="00CE373D" w:rsidRDefault="00CE373D" w:rsidP="00CE373D">
      <w:pPr>
        <w:jc w:val="center"/>
      </w:pPr>
    </w:p>
    <w:p w14:paraId="2F64BADA" w14:textId="05B6A1D6" w:rsidR="00CE373D" w:rsidRDefault="00CE373D" w:rsidP="00CE373D">
      <w:pPr>
        <w:jc w:val="center"/>
      </w:pPr>
    </w:p>
    <w:p w14:paraId="1447D6C2" w14:textId="1022AC69" w:rsidR="00CE373D" w:rsidRDefault="00CE373D" w:rsidP="00CE373D">
      <w:pPr>
        <w:jc w:val="center"/>
      </w:pPr>
    </w:p>
    <w:p w14:paraId="4BBBFC6A" w14:textId="1D3D04E0" w:rsidR="00CE373D" w:rsidRDefault="001F1F24" w:rsidP="00CE373D">
      <w:pPr>
        <w:jc w:val="center"/>
      </w:pPr>
      <w:r w:rsidRPr="00CE373D">
        <w:rPr>
          <w:noProof/>
        </w:rPr>
        <w:drawing>
          <wp:anchor distT="0" distB="0" distL="114300" distR="114300" simplePos="0" relativeHeight="251663360" behindDoc="0" locked="0" layoutInCell="1" allowOverlap="1" wp14:anchorId="4D65DAB4" wp14:editId="48F0B8DA">
            <wp:simplePos x="0" y="0"/>
            <wp:positionH relativeFrom="margin">
              <wp:align>center</wp:align>
            </wp:positionH>
            <wp:positionV relativeFrom="paragraph">
              <wp:posOffset>174336</wp:posOffset>
            </wp:positionV>
            <wp:extent cx="3578860" cy="2665095"/>
            <wp:effectExtent l="0" t="0" r="2540" b="1905"/>
            <wp:wrapSquare wrapText="bothSides"/>
            <wp:docPr id="165753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39021" name=""/>
                    <pic:cNvPicPr/>
                  </pic:nvPicPr>
                  <pic:blipFill>
                    <a:blip r:embed="rId9">
                      <a:extLst>
                        <a:ext uri="{28A0092B-C50C-407E-A947-70E740481C1C}">
                          <a14:useLocalDpi xmlns:a14="http://schemas.microsoft.com/office/drawing/2010/main" val="0"/>
                        </a:ext>
                      </a:extLst>
                    </a:blip>
                    <a:stretch>
                      <a:fillRect/>
                    </a:stretch>
                  </pic:blipFill>
                  <pic:spPr>
                    <a:xfrm>
                      <a:off x="0" y="0"/>
                      <a:ext cx="3578860" cy="2665095"/>
                    </a:xfrm>
                    <a:prstGeom prst="rect">
                      <a:avLst/>
                    </a:prstGeom>
                  </pic:spPr>
                </pic:pic>
              </a:graphicData>
            </a:graphic>
            <wp14:sizeRelH relativeFrom="margin">
              <wp14:pctWidth>0</wp14:pctWidth>
            </wp14:sizeRelH>
            <wp14:sizeRelV relativeFrom="margin">
              <wp14:pctHeight>0</wp14:pctHeight>
            </wp14:sizeRelV>
          </wp:anchor>
        </w:drawing>
      </w:r>
    </w:p>
    <w:p w14:paraId="7F58EA7F" w14:textId="0074FE8A" w:rsidR="00CE373D" w:rsidRDefault="00CE373D" w:rsidP="00CE373D">
      <w:pPr>
        <w:jc w:val="center"/>
      </w:pPr>
    </w:p>
    <w:p w14:paraId="6D8D0837" w14:textId="0FCD0C03" w:rsidR="00CE373D" w:rsidRDefault="00CE373D" w:rsidP="00CE373D">
      <w:pPr>
        <w:jc w:val="center"/>
      </w:pPr>
    </w:p>
    <w:p w14:paraId="2EFF804F" w14:textId="77777777" w:rsidR="00CE373D" w:rsidRDefault="00CE373D" w:rsidP="00CE373D">
      <w:pPr>
        <w:jc w:val="center"/>
      </w:pPr>
    </w:p>
    <w:p w14:paraId="23B4228F" w14:textId="77777777" w:rsidR="00CE373D" w:rsidRDefault="00CE373D" w:rsidP="00CE373D">
      <w:pPr>
        <w:jc w:val="center"/>
      </w:pPr>
    </w:p>
    <w:p w14:paraId="6E3090E4" w14:textId="77777777" w:rsidR="00CE373D" w:rsidRDefault="00CE373D" w:rsidP="00CE373D">
      <w:pPr>
        <w:jc w:val="center"/>
      </w:pPr>
    </w:p>
    <w:p w14:paraId="49B0577A" w14:textId="00A89383" w:rsidR="00CE373D" w:rsidRDefault="00CE373D" w:rsidP="00CE373D">
      <w:pPr>
        <w:jc w:val="center"/>
      </w:pPr>
    </w:p>
    <w:p w14:paraId="0BCCA0A9" w14:textId="06B38696" w:rsidR="00CE373D" w:rsidRDefault="00CE373D" w:rsidP="00CE373D">
      <w:pPr>
        <w:jc w:val="center"/>
      </w:pPr>
    </w:p>
    <w:p w14:paraId="547AD5DC" w14:textId="77777777" w:rsidR="00CE373D" w:rsidRDefault="00CE373D" w:rsidP="00CE373D">
      <w:pPr>
        <w:jc w:val="center"/>
      </w:pPr>
    </w:p>
    <w:p w14:paraId="3A83A69A" w14:textId="31E3643B" w:rsidR="00CE373D" w:rsidRDefault="00CE373D" w:rsidP="00CE373D">
      <w:pPr>
        <w:jc w:val="center"/>
      </w:pPr>
    </w:p>
    <w:p w14:paraId="4879C964" w14:textId="3425105E" w:rsidR="00CE373D" w:rsidRDefault="00CE373D" w:rsidP="00CE373D">
      <w:pPr>
        <w:jc w:val="center"/>
      </w:pPr>
    </w:p>
    <w:p w14:paraId="5E39EF51" w14:textId="21C26F75" w:rsidR="00CE373D" w:rsidRDefault="00CE373D" w:rsidP="00CE373D">
      <w:pPr>
        <w:jc w:val="center"/>
      </w:pPr>
    </w:p>
    <w:p w14:paraId="3DA2671B" w14:textId="77777777" w:rsidR="00CE373D" w:rsidRDefault="00CE373D" w:rsidP="00CE373D">
      <w:pPr>
        <w:jc w:val="center"/>
      </w:pPr>
    </w:p>
    <w:p w14:paraId="177E2ED7" w14:textId="77777777" w:rsidR="00CE373D" w:rsidRDefault="00CE373D" w:rsidP="00CE373D">
      <w:pPr>
        <w:jc w:val="center"/>
      </w:pPr>
    </w:p>
    <w:p w14:paraId="11E2DCDB" w14:textId="77777777" w:rsidR="00CE373D" w:rsidRDefault="00CE373D" w:rsidP="00CE373D">
      <w:pPr>
        <w:jc w:val="center"/>
      </w:pPr>
    </w:p>
    <w:p w14:paraId="682534D6" w14:textId="2104723F" w:rsidR="00CE373D" w:rsidRDefault="00CE373D" w:rsidP="00CE373D">
      <w:pPr>
        <w:jc w:val="center"/>
      </w:pPr>
    </w:p>
    <w:p w14:paraId="304BFDA5" w14:textId="303ED18E" w:rsidR="00CE373D" w:rsidRDefault="00CE373D" w:rsidP="00CE373D">
      <w:pPr>
        <w:jc w:val="center"/>
      </w:pPr>
      <w:r w:rsidRPr="00CE373D">
        <w:rPr>
          <w:noProof/>
        </w:rPr>
        <w:lastRenderedPageBreak/>
        <w:drawing>
          <wp:anchor distT="0" distB="0" distL="114300" distR="114300" simplePos="0" relativeHeight="251664384" behindDoc="0" locked="0" layoutInCell="1" allowOverlap="1" wp14:anchorId="22A9BDF8" wp14:editId="74F9FCBD">
            <wp:simplePos x="0" y="0"/>
            <wp:positionH relativeFrom="margin">
              <wp:align>center</wp:align>
            </wp:positionH>
            <wp:positionV relativeFrom="paragraph">
              <wp:posOffset>10680</wp:posOffset>
            </wp:positionV>
            <wp:extent cx="3465621" cy="2773796"/>
            <wp:effectExtent l="0" t="0" r="1905" b="7620"/>
            <wp:wrapSquare wrapText="bothSides"/>
            <wp:docPr id="860293398"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3398" name="Picture 1" descr="Chart, bar 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65621" cy="2773796"/>
                    </a:xfrm>
                    <a:prstGeom prst="rect">
                      <a:avLst/>
                    </a:prstGeom>
                  </pic:spPr>
                </pic:pic>
              </a:graphicData>
            </a:graphic>
            <wp14:sizeRelH relativeFrom="margin">
              <wp14:pctWidth>0</wp14:pctWidth>
            </wp14:sizeRelH>
            <wp14:sizeRelV relativeFrom="margin">
              <wp14:pctHeight>0</wp14:pctHeight>
            </wp14:sizeRelV>
          </wp:anchor>
        </w:drawing>
      </w:r>
    </w:p>
    <w:p w14:paraId="50CE7C17" w14:textId="55C1E335" w:rsidR="00CE373D" w:rsidRDefault="00CE373D" w:rsidP="00CE373D">
      <w:pPr>
        <w:jc w:val="center"/>
      </w:pPr>
    </w:p>
    <w:p w14:paraId="4504300A" w14:textId="1893A0EF" w:rsidR="00CE373D" w:rsidRDefault="00CE373D" w:rsidP="00CE373D">
      <w:pPr>
        <w:jc w:val="center"/>
      </w:pPr>
    </w:p>
    <w:p w14:paraId="298CA9E3" w14:textId="5AE82D94" w:rsidR="00CE373D" w:rsidRDefault="00CE373D" w:rsidP="00CE373D">
      <w:pPr>
        <w:jc w:val="center"/>
      </w:pPr>
    </w:p>
    <w:p w14:paraId="560FB6CC" w14:textId="6D1B999F" w:rsidR="00CE373D" w:rsidRDefault="00CE373D" w:rsidP="00CE373D">
      <w:pPr>
        <w:jc w:val="center"/>
      </w:pPr>
      <w:r w:rsidRPr="00CE373D">
        <w:rPr>
          <w:noProof/>
        </w:rPr>
        <w:drawing>
          <wp:anchor distT="0" distB="0" distL="114300" distR="114300" simplePos="0" relativeHeight="251662336" behindDoc="0" locked="0" layoutInCell="1" allowOverlap="1" wp14:anchorId="3DE7C1F6" wp14:editId="4FEFD697">
            <wp:simplePos x="0" y="0"/>
            <wp:positionH relativeFrom="margin">
              <wp:align>center</wp:align>
            </wp:positionH>
            <wp:positionV relativeFrom="paragraph">
              <wp:posOffset>2278380</wp:posOffset>
            </wp:positionV>
            <wp:extent cx="4498340" cy="2776855"/>
            <wp:effectExtent l="0" t="0" r="0" b="4445"/>
            <wp:wrapSquare wrapText="bothSides"/>
            <wp:docPr id="718991389" name="Picture 1"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1389" name="Picture 1" descr="Chart, bar 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498340" cy="2776855"/>
                    </a:xfrm>
                    <a:prstGeom prst="rect">
                      <a:avLst/>
                    </a:prstGeom>
                  </pic:spPr>
                </pic:pic>
              </a:graphicData>
            </a:graphic>
            <wp14:sizeRelH relativeFrom="margin">
              <wp14:pctWidth>0</wp14:pctWidth>
            </wp14:sizeRelH>
            <wp14:sizeRelV relativeFrom="margin">
              <wp14:pctHeight>0</wp14:pctHeight>
            </wp14:sizeRelV>
          </wp:anchor>
        </w:drawing>
      </w:r>
    </w:p>
    <w:sectPr w:rsidR="00CE3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3FB3"/>
    <w:multiLevelType w:val="multilevel"/>
    <w:tmpl w:val="CC8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2DD8"/>
    <w:multiLevelType w:val="multilevel"/>
    <w:tmpl w:val="E0FA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FB1"/>
    <w:multiLevelType w:val="multilevel"/>
    <w:tmpl w:val="F8EC1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57060"/>
    <w:multiLevelType w:val="multilevel"/>
    <w:tmpl w:val="EA5EA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05C68"/>
    <w:multiLevelType w:val="multilevel"/>
    <w:tmpl w:val="93B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A1525"/>
    <w:multiLevelType w:val="hybridMultilevel"/>
    <w:tmpl w:val="A33806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75534A"/>
    <w:multiLevelType w:val="multilevel"/>
    <w:tmpl w:val="2BB6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04E55"/>
    <w:multiLevelType w:val="hybridMultilevel"/>
    <w:tmpl w:val="20245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05B0A"/>
    <w:multiLevelType w:val="multilevel"/>
    <w:tmpl w:val="CCE62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C283A"/>
    <w:multiLevelType w:val="hybridMultilevel"/>
    <w:tmpl w:val="D4844C4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FF96D47"/>
    <w:multiLevelType w:val="hybridMultilevel"/>
    <w:tmpl w:val="98C659E4"/>
    <w:lvl w:ilvl="0" w:tplc="D354B9DE">
      <w:start w:val="1"/>
      <w:numFmt w:val="decimal"/>
      <w:lvlText w:val="%1."/>
      <w:lvlJc w:val="left"/>
      <w:pPr>
        <w:ind w:left="1440" w:hanging="360"/>
      </w:pPr>
      <w:rPr>
        <w:rFonts w:asciiTheme="minorHAnsi" w:eastAsiaTheme="minorHAnsi" w:hAnsiTheme="minorHAnsi" w:cstheme="minorBidi"/>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20A3E51"/>
    <w:multiLevelType w:val="multilevel"/>
    <w:tmpl w:val="D5CC74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71D66F1"/>
    <w:multiLevelType w:val="multilevel"/>
    <w:tmpl w:val="05C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A549C"/>
    <w:multiLevelType w:val="hybridMultilevel"/>
    <w:tmpl w:val="5D421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A71DA2"/>
    <w:multiLevelType w:val="hybridMultilevel"/>
    <w:tmpl w:val="F3243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C21523"/>
    <w:multiLevelType w:val="multilevel"/>
    <w:tmpl w:val="4A26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916D0"/>
    <w:multiLevelType w:val="hybridMultilevel"/>
    <w:tmpl w:val="DF3A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5400F"/>
    <w:multiLevelType w:val="hybridMultilevel"/>
    <w:tmpl w:val="97A2C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BA00BB"/>
    <w:multiLevelType w:val="multilevel"/>
    <w:tmpl w:val="4AE0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82841"/>
    <w:multiLevelType w:val="multilevel"/>
    <w:tmpl w:val="F8EC1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36413"/>
    <w:multiLevelType w:val="multilevel"/>
    <w:tmpl w:val="D65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41808"/>
    <w:multiLevelType w:val="multilevel"/>
    <w:tmpl w:val="379A84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D9E75A2"/>
    <w:multiLevelType w:val="multilevel"/>
    <w:tmpl w:val="48FC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EF0959"/>
    <w:multiLevelType w:val="multilevel"/>
    <w:tmpl w:val="B3D6B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48204383">
    <w:abstractNumId w:val="15"/>
  </w:num>
  <w:num w:numId="2" w16cid:durableId="2095784586">
    <w:abstractNumId w:val="1"/>
  </w:num>
  <w:num w:numId="3" w16cid:durableId="715396095">
    <w:abstractNumId w:val="8"/>
  </w:num>
  <w:num w:numId="4" w16cid:durableId="1821195045">
    <w:abstractNumId w:val="12"/>
  </w:num>
  <w:num w:numId="5" w16cid:durableId="1123883453">
    <w:abstractNumId w:val="6"/>
  </w:num>
  <w:num w:numId="6" w16cid:durableId="1683239867">
    <w:abstractNumId w:val="3"/>
  </w:num>
  <w:num w:numId="7" w16cid:durableId="499080344">
    <w:abstractNumId w:val="4"/>
  </w:num>
  <w:num w:numId="8" w16cid:durableId="79370267">
    <w:abstractNumId w:val="0"/>
  </w:num>
  <w:num w:numId="9" w16cid:durableId="458256942">
    <w:abstractNumId w:val="7"/>
  </w:num>
  <w:num w:numId="10" w16cid:durableId="483737549">
    <w:abstractNumId w:val="17"/>
  </w:num>
  <w:num w:numId="11" w16cid:durableId="60448589">
    <w:abstractNumId w:val="14"/>
  </w:num>
  <w:num w:numId="12" w16cid:durableId="405957199">
    <w:abstractNumId w:val="18"/>
  </w:num>
  <w:num w:numId="13" w16cid:durableId="1834368803">
    <w:abstractNumId w:val="20"/>
  </w:num>
  <w:num w:numId="14" w16cid:durableId="460458958">
    <w:abstractNumId w:val="22"/>
  </w:num>
  <w:num w:numId="15" w16cid:durableId="1096095830">
    <w:abstractNumId w:val="13"/>
  </w:num>
  <w:num w:numId="16" w16cid:durableId="1130396423">
    <w:abstractNumId w:val="19"/>
  </w:num>
  <w:num w:numId="17" w16cid:durableId="323896941">
    <w:abstractNumId w:val="10"/>
  </w:num>
  <w:num w:numId="18" w16cid:durableId="2023046036">
    <w:abstractNumId w:val="9"/>
  </w:num>
  <w:num w:numId="19" w16cid:durableId="730738611">
    <w:abstractNumId w:val="5"/>
  </w:num>
  <w:num w:numId="20" w16cid:durableId="1522209412">
    <w:abstractNumId w:val="2"/>
  </w:num>
  <w:num w:numId="21" w16cid:durableId="155462895">
    <w:abstractNumId w:val="11"/>
  </w:num>
  <w:num w:numId="22" w16cid:durableId="923031333">
    <w:abstractNumId w:val="21"/>
  </w:num>
  <w:num w:numId="23" w16cid:durableId="327712421">
    <w:abstractNumId w:val="23"/>
  </w:num>
  <w:num w:numId="24" w16cid:durableId="1755590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B0"/>
    <w:rsid w:val="000957D5"/>
    <w:rsid w:val="000B7D6F"/>
    <w:rsid w:val="001C1DA1"/>
    <w:rsid w:val="001D7050"/>
    <w:rsid w:val="001D768A"/>
    <w:rsid w:val="001F1F24"/>
    <w:rsid w:val="001F4711"/>
    <w:rsid w:val="002720DF"/>
    <w:rsid w:val="002B58E4"/>
    <w:rsid w:val="00352C54"/>
    <w:rsid w:val="0039156B"/>
    <w:rsid w:val="00391B11"/>
    <w:rsid w:val="003F70B5"/>
    <w:rsid w:val="0040407A"/>
    <w:rsid w:val="00445B24"/>
    <w:rsid w:val="004B5DFB"/>
    <w:rsid w:val="004E26A8"/>
    <w:rsid w:val="004F7396"/>
    <w:rsid w:val="00584746"/>
    <w:rsid w:val="005968FA"/>
    <w:rsid w:val="00607D2A"/>
    <w:rsid w:val="006343C6"/>
    <w:rsid w:val="00671151"/>
    <w:rsid w:val="0067371A"/>
    <w:rsid w:val="006C0E5D"/>
    <w:rsid w:val="00712D4D"/>
    <w:rsid w:val="007249D2"/>
    <w:rsid w:val="00737B2C"/>
    <w:rsid w:val="007432D7"/>
    <w:rsid w:val="007A2FDD"/>
    <w:rsid w:val="007B6861"/>
    <w:rsid w:val="00824325"/>
    <w:rsid w:val="00824CAE"/>
    <w:rsid w:val="00843438"/>
    <w:rsid w:val="009328EE"/>
    <w:rsid w:val="00957E5E"/>
    <w:rsid w:val="00991F93"/>
    <w:rsid w:val="009C6790"/>
    <w:rsid w:val="00A02830"/>
    <w:rsid w:val="00A23D55"/>
    <w:rsid w:val="00A40156"/>
    <w:rsid w:val="00A55856"/>
    <w:rsid w:val="00AF14CD"/>
    <w:rsid w:val="00B142D4"/>
    <w:rsid w:val="00B14D31"/>
    <w:rsid w:val="00B27F0E"/>
    <w:rsid w:val="00B53CEC"/>
    <w:rsid w:val="00B65371"/>
    <w:rsid w:val="00BC6412"/>
    <w:rsid w:val="00C61F1A"/>
    <w:rsid w:val="00C70786"/>
    <w:rsid w:val="00C71786"/>
    <w:rsid w:val="00C76332"/>
    <w:rsid w:val="00CC1D23"/>
    <w:rsid w:val="00CD63E1"/>
    <w:rsid w:val="00CE373D"/>
    <w:rsid w:val="00D04E5F"/>
    <w:rsid w:val="00D2678E"/>
    <w:rsid w:val="00D43995"/>
    <w:rsid w:val="00D56D80"/>
    <w:rsid w:val="00D57445"/>
    <w:rsid w:val="00D92E2D"/>
    <w:rsid w:val="00E068D1"/>
    <w:rsid w:val="00E0768B"/>
    <w:rsid w:val="00E46A2E"/>
    <w:rsid w:val="00E65DB0"/>
    <w:rsid w:val="00E77486"/>
    <w:rsid w:val="00F50945"/>
    <w:rsid w:val="00F621EE"/>
    <w:rsid w:val="00F9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BF49A33"/>
  <w15:chartTrackingRefBased/>
  <w15:docId w15:val="{B8A3B1B9-C0F2-47D9-8916-D042E33E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DB0"/>
    <w:rPr>
      <w:rFonts w:eastAsiaTheme="majorEastAsia" w:cstheme="majorBidi"/>
      <w:color w:val="272727" w:themeColor="text1" w:themeTint="D8"/>
    </w:rPr>
  </w:style>
  <w:style w:type="paragraph" w:styleId="Title">
    <w:name w:val="Title"/>
    <w:basedOn w:val="Normal"/>
    <w:next w:val="Normal"/>
    <w:link w:val="TitleChar"/>
    <w:uiPriority w:val="10"/>
    <w:qFormat/>
    <w:rsid w:val="00E65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DB0"/>
    <w:pPr>
      <w:spacing w:before="160"/>
      <w:jc w:val="center"/>
    </w:pPr>
    <w:rPr>
      <w:i/>
      <w:iCs/>
      <w:color w:val="404040" w:themeColor="text1" w:themeTint="BF"/>
    </w:rPr>
  </w:style>
  <w:style w:type="character" w:customStyle="1" w:styleId="QuoteChar">
    <w:name w:val="Quote Char"/>
    <w:basedOn w:val="DefaultParagraphFont"/>
    <w:link w:val="Quote"/>
    <w:uiPriority w:val="29"/>
    <w:rsid w:val="00E65DB0"/>
    <w:rPr>
      <w:i/>
      <w:iCs/>
      <w:color w:val="404040" w:themeColor="text1" w:themeTint="BF"/>
    </w:rPr>
  </w:style>
  <w:style w:type="paragraph" w:styleId="ListParagraph">
    <w:name w:val="List Paragraph"/>
    <w:basedOn w:val="Normal"/>
    <w:uiPriority w:val="34"/>
    <w:qFormat/>
    <w:rsid w:val="00E65DB0"/>
    <w:pPr>
      <w:ind w:left="720"/>
      <w:contextualSpacing/>
    </w:pPr>
  </w:style>
  <w:style w:type="character" w:styleId="IntenseEmphasis">
    <w:name w:val="Intense Emphasis"/>
    <w:basedOn w:val="DefaultParagraphFont"/>
    <w:uiPriority w:val="21"/>
    <w:qFormat/>
    <w:rsid w:val="00E65DB0"/>
    <w:rPr>
      <w:i/>
      <w:iCs/>
      <w:color w:val="0F4761" w:themeColor="accent1" w:themeShade="BF"/>
    </w:rPr>
  </w:style>
  <w:style w:type="paragraph" w:styleId="IntenseQuote">
    <w:name w:val="Intense Quote"/>
    <w:basedOn w:val="Normal"/>
    <w:next w:val="Normal"/>
    <w:link w:val="IntenseQuoteChar"/>
    <w:uiPriority w:val="30"/>
    <w:qFormat/>
    <w:rsid w:val="00E65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DB0"/>
    <w:rPr>
      <w:i/>
      <w:iCs/>
      <w:color w:val="0F4761" w:themeColor="accent1" w:themeShade="BF"/>
    </w:rPr>
  </w:style>
  <w:style w:type="character" w:styleId="IntenseReference">
    <w:name w:val="Intense Reference"/>
    <w:basedOn w:val="DefaultParagraphFont"/>
    <w:uiPriority w:val="32"/>
    <w:qFormat/>
    <w:rsid w:val="00E65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34182">
      <w:bodyDiv w:val="1"/>
      <w:marLeft w:val="0"/>
      <w:marRight w:val="0"/>
      <w:marTop w:val="0"/>
      <w:marBottom w:val="0"/>
      <w:divBdr>
        <w:top w:val="none" w:sz="0" w:space="0" w:color="auto"/>
        <w:left w:val="none" w:sz="0" w:space="0" w:color="auto"/>
        <w:bottom w:val="none" w:sz="0" w:space="0" w:color="auto"/>
        <w:right w:val="none" w:sz="0" w:space="0" w:color="auto"/>
      </w:divBdr>
    </w:div>
    <w:div w:id="112016950">
      <w:bodyDiv w:val="1"/>
      <w:marLeft w:val="0"/>
      <w:marRight w:val="0"/>
      <w:marTop w:val="0"/>
      <w:marBottom w:val="0"/>
      <w:divBdr>
        <w:top w:val="none" w:sz="0" w:space="0" w:color="auto"/>
        <w:left w:val="none" w:sz="0" w:space="0" w:color="auto"/>
        <w:bottom w:val="none" w:sz="0" w:space="0" w:color="auto"/>
        <w:right w:val="none" w:sz="0" w:space="0" w:color="auto"/>
      </w:divBdr>
    </w:div>
    <w:div w:id="190385891">
      <w:bodyDiv w:val="1"/>
      <w:marLeft w:val="0"/>
      <w:marRight w:val="0"/>
      <w:marTop w:val="0"/>
      <w:marBottom w:val="0"/>
      <w:divBdr>
        <w:top w:val="none" w:sz="0" w:space="0" w:color="auto"/>
        <w:left w:val="none" w:sz="0" w:space="0" w:color="auto"/>
        <w:bottom w:val="none" w:sz="0" w:space="0" w:color="auto"/>
        <w:right w:val="none" w:sz="0" w:space="0" w:color="auto"/>
      </w:divBdr>
    </w:div>
    <w:div w:id="196043001">
      <w:bodyDiv w:val="1"/>
      <w:marLeft w:val="0"/>
      <w:marRight w:val="0"/>
      <w:marTop w:val="0"/>
      <w:marBottom w:val="0"/>
      <w:divBdr>
        <w:top w:val="none" w:sz="0" w:space="0" w:color="auto"/>
        <w:left w:val="none" w:sz="0" w:space="0" w:color="auto"/>
        <w:bottom w:val="none" w:sz="0" w:space="0" w:color="auto"/>
        <w:right w:val="none" w:sz="0" w:space="0" w:color="auto"/>
      </w:divBdr>
    </w:div>
    <w:div w:id="405883763">
      <w:bodyDiv w:val="1"/>
      <w:marLeft w:val="0"/>
      <w:marRight w:val="0"/>
      <w:marTop w:val="0"/>
      <w:marBottom w:val="0"/>
      <w:divBdr>
        <w:top w:val="none" w:sz="0" w:space="0" w:color="auto"/>
        <w:left w:val="none" w:sz="0" w:space="0" w:color="auto"/>
        <w:bottom w:val="none" w:sz="0" w:space="0" w:color="auto"/>
        <w:right w:val="none" w:sz="0" w:space="0" w:color="auto"/>
      </w:divBdr>
    </w:div>
    <w:div w:id="413820873">
      <w:bodyDiv w:val="1"/>
      <w:marLeft w:val="0"/>
      <w:marRight w:val="0"/>
      <w:marTop w:val="0"/>
      <w:marBottom w:val="0"/>
      <w:divBdr>
        <w:top w:val="none" w:sz="0" w:space="0" w:color="auto"/>
        <w:left w:val="none" w:sz="0" w:space="0" w:color="auto"/>
        <w:bottom w:val="none" w:sz="0" w:space="0" w:color="auto"/>
        <w:right w:val="none" w:sz="0" w:space="0" w:color="auto"/>
      </w:divBdr>
    </w:div>
    <w:div w:id="531498564">
      <w:bodyDiv w:val="1"/>
      <w:marLeft w:val="0"/>
      <w:marRight w:val="0"/>
      <w:marTop w:val="0"/>
      <w:marBottom w:val="0"/>
      <w:divBdr>
        <w:top w:val="none" w:sz="0" w:space="0" w:color="auto"/>
        <w:left w:val="none" w:sz="0" w:space="0" w:color="auto"/>
        <w:bottom w:val="none" w:sz="0" w:space="0" w:color="auto"/>
        <w:right w:val="none" w:sz="0" w:space="0" w:color="auto"/>
      </w:divBdr>
    </w:div>
    <w:div w:id="541600616">
      <w:bodyDiv w:val="1"/>
      <w:marLeft w:val="0"/>
      <w:marRight w:val="0"/>
      <w:marTop w:val="0"/>
      <w:marBottom w:val="0"/>
      <w:divBdr>
        <w:top w:val="none" w:sz="0" w:space="0" w:color="auto"/>
        <w:left w:val="none" w:sz="0" w:space="0" w:color="auto"/>
        <w:bottom w:val="none" w:sz="0" w:space="0" w:color="auto"/>
        <w:right w:val="none" w:sz="0" w:space="0" w:color="auto"/>
      </w:divBdr>
    </w:div>
    <w:div w:id="637146229">
      <w:bodyDiv w:val="1"/>
      <w:marLeft w:val="0"/>
      <w:marRight w:val="0"/>
      <w:marTop w:val="0"/>
      <w:marBottom w:val="0"/>
      <w:divBdr>
        <w:top w:val="none" w:sz="0" w:space="0" w:color="auto"/>
        <w:left w:val="none" w:sz="0" w:space="0" w:color="auto"/>
        <w:bottom w:val="none" w:sz="0" w:space="0" w:color="auto"/>
        <w:right w:val="none" w:sz="0" w:space="0" w:color="auto"/>
      </w:divBdr>
    </w:div>
    <w:div w:id="658197983">
      <w:bodyDiv w:val="1"/>
      <w:marLeft w:val="0"/>
      <w:marRight w:val="0"/>
      <w:marTop w:val="0"/>
      <w:marBottom w:val="0"/>
      <w:divBdr>
        <w:top w:val="none" w:sz="0" w:space="0" w:color="auto"/>
        <w:left w:val="none" w:sz="0" w:space="0" w:color="auto"/>
        <w:bottom w:val="none" w:sz="0" w:space="0" w:color="auto"/>
        <w:right w:val="none" w:sz="0" w:space="0" w:color="auto"/>
      </w:divBdr>
    </w:div>
    <w:div w:id="672729781">
      <w:bodyDiv w:val="1"/>
      <w:marLeft w:val="0"/>
      <w:marRight w:val="0"/>
      <w:marTop w:val="0"/>
      <w:marBottom w:val="0"/>
      <w:divBdr>
        <w:top w:val="none" w:sz="0" w:space="0" w:color="auto"/>
        <w:left w:val="none" w:sz="0" w:space="0" w:color="auto"/>
        <w:bottom w:val="none" w:sz="0" w:space="0" w:color="auto"/>
        <w:right w:val="none" w:sz="0" w:space="0" w:color="auto"/>
      </w:divBdr>
    </w:div>
    <w:div w:id="683629747">
      <w:bodyDiv w:val="1"/>
      <w:marLeft w:val="0"/>
      <w:marRight w:val="0"/>
      <w:marTop w:val="0"/>
      <w:marBottom w:val="0"/>
      <w:divBdr>
        <w:top w:val="none" w:sz="0" w:space="0" w:color="auto"/>
        <w:left w:val="none" w:sz="0" w:space="0" w:color="auto"/>
        <w:bottom w:val="none" w:sz="0" w:space="0" w:color="auto"/>
        <w:right w:val="none" w:sz="0" w:space="0" w:color="auto"/>
      </w:divBdr>
    </w:div>
    <w:div w:id="769206754">
      <w:bodyDiv w:val="1"/>
      <w:marLeft w:val="0"/>
      <w:marRight w:val="0"/>
      <w:marTop w:val="0"/>
      <w:marBottom w:val="0"/>
      <w:divBdr>
        <w:top w:val="none" w:sz="0" w:space="0" w:color="auto"/>
        <w:left w:val="none" w:sz="0" w:space="0" w:color="auto"/>
        <w:bottom w:val="none" w:sz="0" w:space="0" w:color="auto"/>
        <w:right w:val="none" w:sz="0" w:space="0" w:color="auto"/>
      </w:divBdr>
      <w:divsChild>
        <w:div w:id="604925100">
          <w:marLeft w:val="0"/>
          <w:marRight w:val="0"/>
          <w:marTop w:val="0"/>
          <w:marBottom w:val="0"/>
          <w:divBdr>
            <w:top w:val="none" w:sz="0" w:space="0" w:color="auto"/>
            <w:left w:val="none" w:sz="0" w:space="0" w:color="auto"/>
            <w:bottom w:val="none" w:sz="0" w:space="0" w:color="auto"/>
            <w:right w:val="none" w:sz="0" w:space="0" w:color="auto"/>
          </w:divBdr>
          <w:divsChild>
            <w:div w:id="18387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2559">
      <w:bodyDiv w:val="1"/>
      <w:marLeft w:val="0"/>
      <w:marRight w:val="0"/>
      <w:marTop w:val="0"/>
      <w:marBottom w:val="0"/>
      <w:divBdr>
        <w:top w:val="none" w:sz="0" w:space="0" w:color="auto"/>
        <w:left w:val="none" w:sz="0" w:space="0" w:color="auto"/>
        <w:bottom w:val="none" w:sz="0" w:space="0" w:color="auto"/>
        <w:right w:val="none" w:sz="0" w:space="0" w:color="auto"/>
      </w:divBdr>
    </w:div>
    <w:div w:id="952396790">
      <w:bodyDiv w:val="1"/>
      <w:marLeft w:val="0"/>
      <w:marRight w:val="0"/>
      <w:marTop w:val="0"/>
      <w:marBottom w:val="0"/>
      <w:divBdr>
        <w:top w:val="none" w:sz="0" w:space="0" w:color="auto"/>
        <w:left w:val="none" w:sz="0" w:space="0" w:color="auto"/>
        <w:bottom w:val="none" w:sz="0" w:space="0" w:color="auto"/>
        <w:right w:val="none" w:sz="0" w:space="0" w:color="auto"/>
      </w:divBdr>
    </w:div>
    <w:div w:id="965626492">
      <w:bodyDiv w:val="1"/>
      <w:marLeft w:val="0"/>
      <w:marRight w:val="0"/>
      <w:marTop w:val="0"/>
      <w:marBottom w:val="0"/>
      <w:divBdr>
        <w:top w:val="none" w:sz="0" w:space="0" w:color="auto"/>
        <w:left w:val="none" w:sz="0" w:space="0" w:color="auto"/>
        <w:bottom w:val="none" w:sz="0" w:space="0" w:color="auto"/>
        <w:right w:val="none" w:sz="0" w:space="0" w:color="auto"/>
      </w:divBdr>
      <w:divsChild>
        <w:div w:id="1723407896">
          <w:marLeft w:val="0"/>
          <w:marRight w:val="0"/>
          <w:marTop w:val="0"/>
          <w:marBottom w:val="0"/>
          <w:divBdr>
            <w:top w:val="none" w:sz="0" w:space="0" w:color="auto"/>
            <w:left w:val="none" w:sz="0" w:space="0" w:color="auto"/>
            <w:bottom w:val="none" w:sz="0" w:space="0" w:color="auto"/>
            <w:right w:val="none" w:sz="0" w:space="0" w:color="auto"/>
          </w:divBdr>
          <w:divsChild>
            <w:div w:id="772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5179">
      <w:bodyDiv w:val="1"/>
      <w:marLeft w:val="0"/>
      <w:marRight w:val="0"/>
      <w:marTop w:val="0"/>
      <w:marBottom w:val="0"/>
      <w:divBdr>
        <w:top w:val="none" w:sz="0" w:space="0" w:color="auto"/>
        <w:left w:val="none" w:sz="0" w:space="0" w:color="auto"/>
        <w:bottom w:val="none" w:sz="0" w:space="0" w:color="auto"/>
        <w:right w:val="none" w:sz="0" w:space="0" w:color="auto"/>
      </w:divBdr>
    </w:div>
    <w:div w:id="1092431428">
      <w:bodyDiv w:val="1"/>
      <w:marLeft w:val="0"/>
      <w:marRight w:val="0"/>
      <w:marTop w:val="0"/>
      <w:marBottom w:val="0"/>
      <w:divBdr>
        <w:top w:val="none" w:sz="0" w:space="0" w:color="auto"/>
        <w:left w:val="none" w:sz="0" w:space="0" w:color="auto"/>
        <w:bottom w:val="none" w:sz="0" w:space="0" w:color="auto"/>
        <w:right w:val="none" w:sz="0" w:space="0" w:color="auto"/>
      </w:divBdr>
      <w:divsChild>
        <w:div w:id="77337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060717">
      <w:bodyDiv w:val="1"/>
      <w:marLeft w:val="0"/>
      <w:marRight w:val="0"/>
      <w:marTop w:val="0"/>
      <w:marBottom w:val="0"/>
      <w:divBdr>
        <w:top w:val="none" w:sz="0" w:space="0" w:color="auto"/>
        <w:left w:val="none" w:sz="0" w:space="0" w:color="auto"/>
        <w:bottom w:val="none" w:sz="0" w:space="0" w:color="auto"/>
        <w:right w:val="none" w:sz="0" w:space="0" w:color="auto"/>
      </w:divBdr>
    </w:div>
    <w:div w:id="1174876876">
      <w:bodyDiv w:val="1"/>
      <w:marLeft w:val="0"/>
      <w:marRight w:val="0"/>
      <w:marTop w:val="0"/>
      <w:marBottom w:val="0"/>
      <w:divBdr>
        <w:top w:val="none" w:sz="0" w:space="0" w:color="auto"/>
        <w:left w:val="none" w:sz="0" w:space="0" w:color="auto"/>
        <w:bottom w:val="none" w:sz="0" w:space="0" w:color="auto"/>
        <w:right w:val="none" w:sz="0" w:space="0" w:color="auto"/>
      </w:divBdr>
      <w:divsChild>
        <w:div w:id="154390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17761">
      <w:bodyDiv w:val="1"/>
      <w:marLeft w:val="0"/>
      <w:marRight w:val="0"/>
      <w:marTop w:val="0"/>
      <w:marBottom w:val="0"/>
      <w:divBdr>
        <w:top w:val="none" w:sz="0" w:space="0" w:color="auto"/>
        <w:left w:val="none" w:sz="0" w:space="0" w:color="auto"/>
        <w:bottom w:val="none" w:sz="0" w:space="0" w:color="auto"/>
        <w:right w:val="none" w:sz="0" w:space="0" w:color="auto"/>
      </w:divBdr>
      <w:divsChild>
        <w:div w:id="34020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6268">
      <w:bodyDiv w:val="1"/>
      <w:marLeft w:val="0"/>
      <w:marRight w:val="0"/>
      <w:marTop w:val="0"/>
      <w:marBottom w:val="0"/>
      <w:divBdr>
        <w:top w:val="none" w:sz="0" w:space="0" w:color="auto"/>
        <w:left w:val="none" w:sz="0" w:space="0" w:color="auto"/>
        <w:bottom w:val="none" w:sz="0" w:space="0" w:color="auto"/>
        <w:right w:val="none" w:sz="0" w:space="0" w:color="auto"/>
      </w:divBdr>
    </w:div>
    <w:div w:id="1478187280">
      <w:bodyDiv w:val="1"/>
      <w:marLeft w:val="0"/>
      <w:marRight w:val="0"/>
      <w:marTop w:val="0"/>
      <w:marBottom w:val="0"/>
      <w:divBdr>
        <w:top w:val="none" w:sz="0" w:space="0" w:color="auto"/>
        <w:left w:val="none" w:sz="0" w:space="0" w:color="auto"/>
        <w:bottom w:val="none" w:sz="0" w:space="0" w:color="auto"/>
        <w:right w:val="none" w:sz="0" w:space="0" w:color="auto"/>
      </w:divBdr>
    </w:div>
    <w:div w:id="1486971057">
      <w:bodyDiv w:val="1"/>
      <w:marLeft w:val="0"/>
      <w:marRight w:val="0"/>
      <w:marTop w:val="0"/>
      <w:marBottom w:val="0"/>
      <w:divBdr>
        <w:top w:val="none" w:sz="0" w:space="0" w:color="auto"/>
        <w:left w:val="none" w:sz="0" w:space="0" w:color="auto"/>
        <w:bottom w:val="none" w:sz="0" w:space="0" w:color="auto"/>
        <w:right w:val="none" w:sz="0" w:space="0" w:color="auto"/>
      </w:divBdr>
      <w:divsChild>
        <w:div w:id="144881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227222">
      <w:bodyDiv w:val="1"/>
      <w:marLeft w:val="0"/>
      <w:marRight w:val="0"/>
      <w:marTop w:val="0"/>
      <w:marBottom w:val="0"/>
      <w:divBdr>
        <w:top w:val="none" w:sz="0" w:space="0" w:color="auto"/>
        <w:left w:val="none" w:sz="0" w:space="0" w:color="auto"/>
        <w:bottom w:val="none" w:sz="0" w:space="0" w:color="auto"/>
        <w:right w:val="none" w:sz="0" w:space="0" w:color="auto"/>
      </w:divBdr>
    </w:div>
    <w:div w:id="1566136544">
      <w:bodyDiv w:val="1"/>
      <w:marLeft w:val="0"/>
      <w:marRight w:val="0"/>
      <w:marTop w:val="0"/>
      <w:marBottom w:val="0"/>
      <w:divBdr>
        <w:top w:val="none" w:sz="0" w:space="0" w:color="auto"/>
        <w:left w:val="none" w:sz="0" w:space="0" w:color="auto"/>
        <w:bottom w:val="none" w:sz="0" w:space="0" w:color="auto"/>
        <w:right w:val="none" w:sz="0" w:space="0" w:color="auto"/>
      </w:divBdr>
    </w:div>
    <w:div w:id="1625893064">
      <w:bodyDiv w:val="1"/>
      <w:marLeft w:val="0"/>
      <w:marRight w:val="0"/>
      <w:marTop w:val="0"/>
      <w:marBottom w:val="0"/>
      <w:divBdr>
        <w:top w:val="none" w:sz="0" w:space="0" w:color="auto"/>
        <w:left w:val="none" w:sz="0" w:space="0" w:color="auto"/>
        <w:bottom w:val="none" w:sz="0" w:space="0" w:color="auto"/>
        <w:right w:val="none" w:sz="0" w:space="0" w:color="auto"/>
      </w:divBdr>
      <w:divsChild>
        <w:div w:id="11391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90830">
      <w:bodyDiv w:val="1"/>
      <w:marLeft w:val="0"/>
      <w:marRight w:val="0"/>
      <w:marTop w:val="0"/>
      <w:marBottom w:val="0"/>
      <w:divBdr>
        <w:top w:val="none" w:sz="0" w:space="0" w:color="auto"/>
        <w:left w:val="none" w:sz="0" w:space="0" w:color="auto"/>
        <w:bottom w:val="none" w:sz="0" w:space="0" w:color="auto"/>
        <w:right w:val="none" w:sz="0" w:space="0" w:color="auto"/>
      </w:divBdr>
    </w:div>
    <w:div w:id="1759904377">
      <w:bodyDiv w:val="1"/>
      <w:marLeft w:val="0"/>
      <w:marRight w:val="0"/>
      <w:marTop w:val="0"/>
      <w:marBottom w:val="0"/>
      <w:divBdr>
        <w:top w:val="none" w:sz="0" w:space="0" w:color="auto"/>
        <w:left w:val="none" w:sz="0" w:space="0" w:color="auto"/>
        <w:bottom w:val="none" w:sz="0" w:space="0" w:color="auto"/>
        <w:right w:val="none" w:sz="0" w:space="0" w:color="auto"/>
      </w:divBdr>
    </w:div>
    <w:div w:id="1785417093">
      <w:bodyDiv w:val="1"/>
      <w:marLeft w:val="0"/>
      <w:marRight w:val="0"/>
      <w:marTop w:val="0"/>
      <w:marBottom w:val="0"/>
      <w:divBdr>
        <w:top w:val="none" w:sz="0" w:space="0" w:color="auto"/>
        <w:left w:val="none" w:sz="0" w:space="0" w:color="auto"/>
        <w:bottom w:val="none" w:sz="0" w:space="0" w:color="auto"/>
        <w:right w:val="none" w:sz="0" w:space="0" w:color="auto"/>
      </w:divBdr>
    </w:div>
    <w:div w:id="1810783418">
      <w:bodyDiv w:val="1"/>
      <w:marLeft w:val="0"/>
      <w:marRight w:val="0"/>
      <w:marTop w:val="0"/>
      <w:marBottom w:val="0"/>
      <w:divBdr>
        <w:top w:val="none" w:sz="0" w:space="0" w:color="auto"/>
        <w:left w:val="none" w:sz="0" w:space="0" w:color="auto"/>
        <w:bottom w:val="none" w:sz="0" w:space="0" w:color="auto"/>
        <w:right w:val="none" w:sz="0" w:space="0" w:color="auto"/>
      </w:divBdr>
    </w:div>
    <w:div w:id="1881895410">
      <w:bodyDiv w:val="1"/>
      <w:marLeft w:val="0"/>
      <w:marRight w:val="0"/>
      <w:marTop w:val="0"/>
      <w:marBottom w:val="0"/>
      <w:divBdr>
        <w:top w:val="none" w:sz="0" w:space="0" w:color="auto"/>
        <w:left w:val="none" w:sz="0" w:space="0" w:color="auto"/>
        <w:bottom w:val="none" w:sz="0" w:space="0" w:color="auto"/>
        <w:right w:val="none" w:sz="0" w:space="0" w:color="auto"/>
      </w:divBdr>
    </w:div>
    <w:div w:id="1887638315">
      <w:bodyDiv w:val="1"/>
      <w:marLeft w:val="0"/>
      <w:marRight w:val="0"/>
      <w:marTop w:val="0"/>
      <w:marBottom w:val="0"/>
      <w:divBdr>
        <w:top w:val="none" w:sz="0" w:space="0" w:color="auto"/>
        <w:left w:val="none" w:sz="0" w:space="0" w:color="auto"/>
        <w:bottom w:val="none" w:sz="0" w:space="0" w:color="auto"/>
        <w:right w:val="none" w:sz="0" w:space="0" w:color="auto"/>
      </w:divBdr>
      <w:divsChild>
        <w:div w:id="115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846</Words>
  <Characters>4827</Characters>
  <Application>Microsoft Office Word</Application>
  <DocSecurity>0</DocSecurity>
  <Lines>174</Lines>
  <Paragraphs>56</Paragraphs>
  <ScaleCrop>false</ScaleCrop>
  <Company>San Joaquin County</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Justin [PROB]</dc:creator>
  <cp:keywords/>
  <dc:description/>
  <cp:lastModifiedBy>Fox, Justin [PROB]</cp:lastModifiedBy>
  <cp:revision>64</cp:revision>
  <dcterms:created xsi:type="dcterms:W3CDTF">2025-05-20T15:29:00Z</dcterms:created>
  <dcterms:modified xsi:type="dcterms:W3CDTF">2025-05-22T18:21:00Z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b5e36fc5-7779-48e3-9f31-3a6279fae24e</vt:lpwstr>
  </property>
</Properties>
</file>