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FCC" w:rsidRPr="006F1525" w:rsidRDefault="00B53FCC" w:rsidP="00B53FCC">
      <w:pPr>
        <w:spacing w:before="200"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6F1525">
        <w:rPr>
          <w:rFonts w:ascii="Arial" w:eastAsia="Times New Roman" w:hAnsi="Arial" w:cs="Arial"/>
          <w:color w:val="222222"/>
        </w:rPr>
        <w:t>Given the three tables below, construct a SQL query that would return:</w:t>
      </w:r>
    </w:p>
    <w:p w:rsidR="00B53FCC" w:rsidRPr="00B53FCC" w:rsidRDefault="00B53FCC" w:rsidP="00B53FC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B53FCC">
        <w:rPr>
          <w:rFonts w:ascii="Arial" w:eastAsia="Times New Roman" w:hAnsi="Arial" w:cs="Arial"/>
          <w:color w:val="222222"/>
        </w:rPr>
        <w:t>Monthly spend totals by user’s most recent email</w:t>
      </w:r>
    </w:p>
    <w:p w:rsidR="00B53FCC" w:rsidRPr="00B53FCC" w:rsidRDefault="00B53FCC" w:rsidP="00B53FC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B53FCC">
        <w:rPr>
          <w:rFonts w:ascii="Arial" w:eastAsia="Times New Roman" w:hAnsi="Arial" w:cs="Arial"/>
          <w:color w:val="222222"/>
        </w:rPr>
        <w:t>A field showing their count of droplets used that month</w:t>
      </w:r>
    </w:p>
    <w:p w:rsidR="00B53FCC" w:rsidRPr="00B53FCC" w:rsidRDefault="00B53FCC" w:rsidP="00B53FCC">
      <w:pPr>
        <w:pStyle w:val="ListParagraph"/>
        <w:numPr>
          <w:ilvl w:val="0"/>
          <w:numId w:val="3"/>
        </w:numPr>
        <w:spacing w:after="20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B53FCC">
        <w:rPr>
          <w:rFonts w:ascii="Arial" w:eastAsia="Times New Roman" w:hAnsi="Arial" w:cs="Arial"/>
          <w:color w:val="222222"/>
        </w:rPr>
        <w:t>A field that gives a value of “Low Value” if the customer spent &lt;$500 and “High Value” if the customer spent &gt;=$500 in a given month.</w:t>
      </w:r>
    </w:p>
    <w:p w:rsidR="00B53FCC" w:rsidRDefault="00B53FCC" w:rsidP="00B53FCC">
      <w:pPr>
        <w:shd w:val="clear" w:color="auto" w:fill="FFFFFF"/>
        <w:spacing w:before="200" w:after="200" w:line="240" w:lineRule="auto"/>
        <w:rPr>
          <w:rFonts w:ascii="Arial" w:eastAsia="Times New Roman" w:hAnsi="Arial" w:cs="Arial"/>
          <w:b/>
          <w:bCs/>
          <w:color w:val="222222"/>
        </w:rPr>
      </w:pPr>
    </w:p>
    <w:p w:rsidR="00B53FCC" w:rsidRPr="006F1525" w:rsidRDefault="00B53FCC" w:rsidP="00B53FCC">
      <w:pPr>
        <w:shd w:val="clear" w:color="auto" w:fill="FFFFFF"/>
        <w:spacing w:before="200"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1525">
        <w:rPr>
          <w:rFonts w:ascii="Arial" w:eastAsia="Times New Roman" w:hAnsi="Arial" w:cs="Arial"/>
          <w:b/>
          <w:bCs/>
          <w:color w:val="222222"/>
        </w:rPr>
        <w:t>Invoice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1499"/>
        <w:gridCol w:w="2721"/>
        <w:gridCol w:w="1230"/>
        <w:gridCol w:w="814"/>
      </w:tblGrid>
      <w:tr w:rsidR="00B53FCC" w:rsidRPr="006F1525" w:rsidTr="00A168C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6F1525">
              <w:rPr>
                <w:rFonts w:ascii="Arial" w:eastAsia="Times New Roman" w:hAnsi="Arial" w:cs="Arial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6F1525">
              <w:rPr>
                <w:rFonts w:ascii="Arial" w:eastAsia="Times New Roman" w:hAnsi="Arial" w:cs="Arial"/>
              </w:rPr>
              <w:t>invoice_month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6F1525">
              <w:rPr>
                <w:rFonts w:ascii="Arial" w:eastAsia="Times New Roman" w:hAnsi="Arial" w:cs="Arial"/>
              </w:rPr>
              <w:t>invoice_item_type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6F1525">
              <w:rPr>
                <w:rFonts w:ascii="Arial" w:eastAsia="Times New Roman" w:hAnsi="Arial" w:cs="Arial"/>
              </w:rPr>
              <w:t>resource_id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amount</w:t>
            </w:r>
          </w:p>
        </w:tc>
      </w:tr>
      <w:tr w:rsidR="00B53FCC" w:rsidRPr="006F1525" w:rsidTr="00A168C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19505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12/1/2017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DROPLETS_TYPE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392058496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10.00</w:t>
            </w:r>
          </w:p>
        </w:tc>
      </w:tr>
      <w:tr w:rsidR="00B53FCC" w:rsidRPr="006F1525" w:rsidTr="00A168C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19505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12/1/2017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BACKUPS_TYPE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2.00</w:t>
            </w:r>
          </w:p>
        </w:tc>
      </w:tr>
      <w:tr w:rsidR="00B53FCC" w:rsidRPr="006F1525" w:rsidTr="00A168C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19505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1/1/2018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DROPLETS_TYPE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392058496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10.00</w:t>
            </w:r>
          </w:p>
        </w:tc>
      </w:tr>
      <w:tr w:rsidR="00B53FCC" w:rsidRPr="006F1525" w:rsidTr="00A168C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19505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1/1/2018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DROPLETS_TYPE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405849382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2.17</w:t>
            </w:r>
          </w:p>
        </w:tc>
      </w:tr>
      <w:tr w:rsidR="00B53FCC" w:rsidRPr="006F1525" w:rsidTr="00A168C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19505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1/1/2018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BACKUPS_TYPE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2.00</w:t>
            </w:r>
          </w:p>
        </w:tc>
      </w:tr>
      <w:tr w:rsidR="00B53FCC" w:rsidRPr="006F1525" w:rsidTr="00A168C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19506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12/1/2017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DROPLETS_TYPE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239483829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640.00</w:t>
            </w:r>
          </w:p>
        </w:tc>
      </w:tr>
      <w:tr w:rsidR="00B53FCC" w:rsidRPr="006F1525" w:rsidTr="00A168C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19506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12/1/2017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BLOCK_STORAGE_TYPE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582938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200.00</w:t>
            </w:r>
          </w:p>
        </w:tc>
      </w:tr>
    </w:tbl>
    <w:p w:rsidR="00B53FCC" w:rsidRPr="006F1525" w:rsidRDefault="00B53FCC" w:rsidP="00B53FCC">
      <w:pPr>
        <w:shd w:val="clear" w:color="auto" w:fill="FFFFFF"/>
        <w:spacing w:before="200"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1525">
        <w:rPr>
          <w:rFonts w:ascii="Arial" w:eastAsia="Times New Roman" w:hAnsi="Arial" w:cs="Arial"/>
          <w:b/>
          <w:bCs/>
          <w:color w:val="222222"/>
        </w:rPr>
        <w:t>Users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1906"/>
        <w:gridCol w:w="2123"/>
      </w:tblGrid>
      <w:tr w:rsidR="00B53FCC" w:rsidRPr="006F1525" w:rsidTr="00A168C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6F1525">
              <w:rPr>
                <w:rFonts w:ascii="Arial" w:eastAsia="Times New Roman" w:hAnsi="Arial" w:cs="Arial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6F1525">
              <w:rPr>
                <w:rFonts w:ascii="Arial" w:eastAsia="Times New Roman" w:hAnsi="Arial" w:cs="Arial"/>
              </w:rPr>
              <w:t>created_at</w:t>
            </w:r>
            <w:proofErr w:type="spellEnd"/>
          </w:p>
        </w:tc>
      </w:tr>
      <w:tr w:rsidR="00B53FCC" w:rsidRPr="006F1525" w:rsidTr="00A168C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19505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hyperlink r:id="rId5" w:tgtFrame="_blank" w:history="1">
              <w:r w:rsidRPr="006F1525">
                <w:rPr>
                  <w:rFonts w:ascii="Arial" w:eastAsia="Times New Roman" w:hAnsi="Arial" w:cs="Arial"/>
                  <w:color w:val="1155CC"/>
                  <w:u w:val="single"/>
                </w:rPr>
                <w:t>john@hotmail.com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2016-04-02 18:40:50</w:t>
            </w:r>
          </w:p>
        </w:tc>
      </w:tr>
      <w:tr w:rsidR="00B53FCC" w:rsidRPr="006F1525" w:rsidTr="00A168C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19505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hyperlink r:id="rId6" w:tgtFrame="_blank" w:history="1">
              <w:r w:rsidRPr="006F1525">
                <w:rPr>
                  <w:rFonts w:ascii="Arial" w:eastAsia="Times New Roman" w:hAnsi="Arial" w:cs="Arial"/>
                  <w:color w:val="1155CC"/>
                  <w:u w:val="single"/>
                </w:rPr>
                <w:t>john@gmail.com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FCC" w:rsidRPr="006F1525" w:rsidRDefault="00B53FCC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2017-09-15 13:10:22</w:t>
            </w:r>
          </w:p>
        </w:tc>
      </w:tr>
    </w:tbl>
    <w:p w:rsidR="00B53FCC" w:rsidRDefault="00B53FCC" w:rsidP="00B53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6F1525">
        <w:rPr>
          <w:rFonts w:ascii="Arial" w:eastAsia="Times New Roman" w:hAnsi="Arial" w:cs="Arial"/>
          <w:color w:val="222222"/>
        </w:rPr>
        <w:t> </w:t>
      </w:r>
    </w:p>
    <w:p w:rsidR="001F28CE" w:rsidRPr="006F1525" w:rsidRDefault="001F28CE" w:rsidP="00B53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53FCC" w:rsidRPr="006F1525" w:rsidRDefault="00B53FCC" w:rsidP="00B53FCC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1525">
        <w:rPr>
          <w:rFonts w:ascii="Arial" w:eastAsia="Times New Roman" w:hAnsi="Arial" w:cs="Arial"/>
          <w:b/>
          <w:bCs/>
          <w:color w:val="222222"/>
        </w:rPr>
        <w:t>Example Output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619"/>
        <w:gridCol w:w="1644"/>
        <w:gridCol w:w="1338"/>
        <w:gridCol w:w="1766"/>
      </w:tblGrid>
      <w:tr w:rsidR="00B53FCC" w:rsidRPr="006F1525" w:rsidTr="00A168CA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FCC" w:rsidRPr="006F1525" w:rsidRDefault="00B53FCC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email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FCC" w:rsidRPr="006F1525" w:rsidRDefault="00B53FCC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6F1525">
              <w:rPr>
                <w:rFonts w:ascii="Arial" w:eastAsia="Times New Roman" w:hAnsi="Arial" w:cs="Arial"/>
              </w:rPr>
              <w:t>invoice_month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FCC" w:rsidRPr="006F1525" w:rsidRDefault="00B53FCC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6F1525">
              <w:rPr>
                <w:rFonts w:ascii="Arial" w:eastAsia="Times New Roman" w:hAnsi="Arial" w:cs="Arial"/>
              </w:rPr>
              <w:t>count_droplets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FCC" w:rsidRPr="006F1525" w:rsidRDefault="00B53FCC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6F1525">
              <w:rPr>
                <w:rFonts w:ascii="Arial" w:eastAsia="Times New Roman" w:hAnsi="Arial" w:cs="Arial"/>
              </w:rPr>
              <w:t>total_spend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FCC" w:rsidRPr="006F1525" w:rsidRDefault="00B53FCC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6F1525">
              <w:rPr>
                <w:rFonts w:ascii="Arial" w:eastAsia="Times New Roman" w:hAnsi="Arial" w:cs="Arial"/>
              </w:rPr>
              <w:t>spend_segment</w:t>
            </w:r>
            <w:proofErr w:type="spellEnd"/>
          </w:p>
        </w:tc>
      </w:tr>
      <w:tr w:rsidR="00B53FCC" w:rsidRPr="006F1525" w:rsidTr="00A168CA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FCC" w:rsidRPr="006F1525" w:rsidRDefault="00B53FCC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hyperlink r:id="rId7" w:tgtFrame="_blank" w:history="1">
              <w:r w:rsidRPr="006F1525">
                <w:rPr>
                  <w:rFonts w:ascii="Arial" w:eastAsia="Times New Roman" w:hAnsi="Arial" w:cs="Arial"/>
                  <w:color w:val="1155CC"/>
                  <w:u w:val="single"/>
                </w:rPr>
                <w:t>john@gmail.com</w:t>
              </w:r>
            </w:hyperlink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FCC" w:rsidRPr="006F1525" w:rsidRDefault="00B53FCC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12/1/2017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FCC" w:rsidRPr="006F1525" w:rsidRDefault="00B53FCC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FCC" w:rsidRPr="006F1525" w:rsidRDefault="00B53FCC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12.00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FCC" w:rsidRPr="006F1525" w:rsidRDefault="00B53FCC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Low Value</w:t>
            </w:r>
          </w:p>
        </w:tc>
      </w:tr>
      <w:tr w:rsidR="00B53FCC" w:rsidRPr="006F1525" w:rsidTr="00A168CA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FCC" w:rsidRPr="006F1525" w:rsidRDefault="00B53FCC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hyperlink r:id="rId8" w:tgtFrame="_blank" w:history="1">
              <w:r w:rsidRPr="006F1525">
                <w:rPr>
                  <w:rFonts w:ascii="Arial" w:eastAsia="Times New Roman" w:hAnsi="Arial" w:cs="Arial"/>
                  <w:color w:val="1155CC"/>
                  <w:u w:val="single"/>
                </w:rPr>
                <w:t>john@gmail.com</w:t>
              </w:r>
            </w:hyperlink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FCC" w:rsidRPr="006F1525" w:rsidRDefault="00B53FCC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1/1/2018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FCC" w:rsidRPr="006F1525" w:rsidRDefault="00B53FCC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FCC" w:rsidRPr="006F1525" w:rsidRDefault="00B53FCC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14.17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FCC" w:rsidRPr="006F1525" w:rsidRDefault="00B53FCC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Low Value</w:t>
            </w:r>
          </w:p>
        </w:tc>
      </w:tr>
    </w:tbl>
    <w:p w:rsidR="00BA7B57" w:rsidRDefault="00BA7B57"/>
    <w:p w:rsidR="00377604" w:rsidRDefault="00377604"/>
    <w:p w:rsidR="00E102B4" w:rsidRDefault="00E102B4" w:rsidP="00E102B4">
      <w:pPr>
        <w:ind w:firstLine="720"/>
      </w:pPr>
      <w:r>
        <w:t>With this dataset, I made the following assumptions:</w:t>
      </w:r>
    </w:p>
    <w:p w:rsidR="00E102B4" w:rsidRDefault="00E102B4" w:rsidP="00E102B4">
      <w:pPr>
        <w:pStyle w:val="ListParagraph"/>
        <w:numPr>
          <w:ilvl w:val="0"/>
          <w:numId w:val="4"/>
        </w:numPr>
      </w:pPr>
      <w:r>
        <w:lastRenderedPageBreak/>
        <w:t xml:space="preserve">All droplets are represented in the Invoice Items table by </w:t>
      </w:r>
      <w:proofErr w:type="spellStart"/>
      <w:r>
        <w:t>invoice_item_type</w:t>
      </w:r>
      <w:proofErr w:type="spellEnd"/>
      <w:r>
        <w:t xml:space="preserve"> = ‘DROPLETS_TYPE’</w:t>
      </w:r>
    </w:p>
    <w:p w:rsidR="00E102B4" w:rsidRDefault="00E102B4" w:rsidP="00E102B4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resource_id</w:t>
      </w:r>
      <w:proofErr w:type="spellEnd"/>
      <w:r>
        <w:t xml:space="preserve"> will be unique to each droplet used by the user.</w:t>
      </w:r>
    </w:p>
    <w:p w:rsidR="00E102B4" w:rsidRDefault="00E102B4" w:rsidP="00E102B4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invoice_month</w:t>
      </w:r>
      <w:proofErr w:type="spellEnd"/>
      <w:r>
        <w:t xml:space="preserve"> column has a consistent format of MM/DD/YYYY.</w:t>
      </w:r>
    </w:p>
    <w:p w:rsidR="00E102B4" w:rsidRDefault="00E102B4" w:rsidP="00E102B4">
      <w:pPr>
        <w:pStyle w:val="ListParagraph"/>
        <w:numPr>
          <w:ilvl w:val="0"/>
          <w:numId w:val="4"/>
        </w:numPr>
      </w:pPr>
      <w:r>
        <w:t xml:space="preserve">The Invoice Items table and the Users table have a many-to-many relationship on </w:t>
      </w:r>
      <w:proofErr w:type="spellStart"/>
      <w:r>
        <w:t>user_id</w:t>
      </w:r>
      <w:proofErr w:type="spellEnd"/>
      <w:r>
        <w:t>.</w:t>
      </w:r>
    </w:p>
    <w:p w:rsidR="00E102B4" w:rsidRDefault="00E102B4" w:rsidP="00E102B4"/>
    <w:p w:rsidR="00E102B4" w:rsidRDefault="00E102B4" w:rsidP="00E102B4">
      <w:pPr>
        <w:ind w:firstLine="360"/>
      </w:pPr>
      <w:r>
        <w:t xml:space="preserve">I created two CTEs. </w:t>
      </w:r>
      <w:r w:rsidRPr="00133BBB">
        <w:t xml:space="preserve">I prefer to use CTEs when possible to avoid using subqueries, as subqueries and complex joins are not usually efficient, and </w:t>
      </w:r>
      <w:r>
        <w:t xml:space="preserve">CTEs provide better readability. The first one reduces the users table down to just the most recent email of each user, by using a window function and ignoring records that are </w:t>
      </w:r>
      <w:proofErr w:type="gramStart"/>
      <w:r>
        <w:t>not</w:t>
      </w:r>
      <w:proofErr w:type="gramEnd"/>
      <w:r>
        <w:t xml:space="preserve"> the </w:t>
      </w:r>
      <w:proofErr w:type="gramStart"/>
      <w:r>
        <w:t>most recent</w:t>
      </w:r>
      <w:proofErr w:type="gramEnd"/>
      <w:r>
        <w:t xml:space="preserve">. The second CTE derives the total amount spent per user per month, and ensures no duplication via the group by clause (as opposed to a window function). I then query from the latter CTE with the addition of a subquery that counts the number of distinct droplets used per each user per month, as specified by </w:t>
      </w:r>
      <w:proofErr w:type="spellStart"/>
      <w:r>
        <w:t>invoice_item_type</w:t>
      </w:r>
      <w:proofErr w:type="spellEnd"/>
      <w:r>
        <w:t>. The total spend column is reformatted into a currency. Per the instructions, I labeled a spending segment by using a simple case expression that measures the total spend amount against the provided threshold of $500. Lastly, I join onto the first CTE to grab the most recent email, and then I order the results first by email, then by month.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most_recent_emails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invoice_amounts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invoice_month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total_spend</w:t>
      </w:r>
      <w:proofErr w:type="spellEnd"/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Invoice_Items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ii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invoice_month</w:t>
      </w:r>
      <w:proofErr w:type="spellEnd"/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invoice_month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resource_id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Invoice_Items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ii 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invoice_month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invoice_month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invoice_item_type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'DROPLETS_TYPE'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count_droplets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total_spend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total_spend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total_spend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 Value'</w:t>
      </w:r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 Value'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spend_segment</w:t>
      </w:r>
      <w:proofErr w:type="spellEnd"/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invoice_amounts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</w:t>
      </w:r>
      <w:proofErr w:type="spellEnd"/>
    </w:p>
    <w:p w:rsidR="00E102B4" w:rsidRDefault="00E102B4" w:rsidP="00E1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most_recent_emails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</w:p>
    <w:p w:rsidR="00E102B4" w:rsidRDefault="00E102B4" w:rsidP="00E102B4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invoice_month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bookmarkStart w:id="0" w:name="_GoBack"/>
      <w:bookmarkEnd w:id="0"/>
      <w:proofErr w:type="spellEnd"/>
    </w:p>
    <w:p w:rsidR="00DD4176" w:rsidRDefault="00DD4176"/>
    <w:sectPr w:rsidR="00DD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096A"/>
    <w:multiLevelType w:val="multilevel"/>
    <w:tmpl w:val="552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D33D6"/>
    <w:multiLevelType w:val="multilevel"/>
    <w:tmpl w:val="8C94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3003F"/>
    <w:multiLevelType w:val="hybridMultilevel"/>
    <w:tmpl w:val="49E44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7F65E4"/>
    <w:multiLevelType w:val="multilevel"/>
    <w:tmpl w:val="552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C1"/>
    <w:rsid w:val="001121C1"/>
    <w:rsid w:val="001F28CE"/>
    <w:rsid w:val="00377604"/>
    <w:rsid w:val="00B53FCC"/>
    <w:rsid w:val="00BA7B57"/>
    <w:rsid w:val="00DD4176"/>
    <w:rsid w:val="00E102B4"/>
    <w:rsid w:val="00FC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339A"/>
  <w15:chartTrackingRefBased/>
  <w15:docId w15:val="{5AD1FBC7-B998-43A3-A843-5B51E461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@gmail.com" TargetMode="External"/><Relationship Id="rId5" Type="http://schemas.openxmlformats.org/officeDocument/2006/relationships/hyperlink" Target="mailto:john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Justin [PROB]</dc:creator>
  <cp:keywords/>
  <dc:description/>
  <cp:lastModifiedBy>Fox, Justin [PROB]</cp:lastModifiedBy>
  <cp:revision>7</cp:revision>
  <dcterms:created xsi:type="dcterms:W3CDTF">2023-02-07T19:05:00Z</dcterms:created>
  <dcterms:modified xsi:type="dcterms:W3CDTF">2023-02-07T19:10:00Z</dcterms:modified>
</cp:coreProperties>
</file>