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4.png" ContentType="image/png"/>
  <Override PartName="/word/media/rId1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knowledge-assistant-architecture"/>
    <w:p>
      <w:pPr>
        <w:pStyle w:val="Heading1"/>
      </w:pPr>
      <w:r>
        <w:t xml:space="preserve">Knowledge Assistant Architecture</w:t>
      </w:r>
    </w:p>
    <w:p>
      <w:pPr>
        <w:pStyle w:val="FirstParagraph"/>
      </w:pPr>
      <w:r>
        <w:t xml:space="preserve">This document describes the architecture of the Knowledge Assistant prototype for the AI Coding Challenge. It outlines how support documentation is processed, embedded, and retrieved to answer user queries via a minimal RAG pipeline.</w:t>
      </w:r>
    </w:p>
    <w:p>
      <w:pPr>
        <w:pStyle w:val="BodyText"/>
      </w:pPr>
      <w:r>
        <w:t xml:space="preserve">The system is designed to balance simplicity, correctness, and production-readiness.</w:t>
      </w:r>
    </w:p>
    <w:p>
      <w:r>
        <w:pict>
          <v:rect style="width:0;height:1.5pt" o:hralign="center" o:hrstd="t" o:hr="t"/>
        </w:pict>
      </w:r>
    </w:p>
    <w:bookmarkStart w:id="9" w:name="overview"/>
    <w:p>
      <w:pPr>
        <w:pStyle w:val="Heading2"/>
      </w:pPr>
      <w:r>
        <w:t xml:space="preserve">1. Overview</w:t>
      </w:r>
    </w:p>
    <w:p>
      <w:pPr>
        <w:pStyle w:val="FirstParagraph"/>
      </w:pPr>
      <w:r>
        <w:t xml:space="preserve">The system:</w:t>
      </w:r>
    </w:p>
    <w:p>
      <w:pPr>
        <w:pStyle w:val="Compact"/>
        <w:numPr>
          <w:ilvl w:val="0"/>
          <w:numId w:val="1001"/>
        </w:numPr>
      </w:pPr>
      <w:r>
        <w:t xml:space="preserve">Accepts support tickets via a single API endpoint (</w:t>
      </w:r>
      <w:r>
        <w:rPr>
          <w:rStyle w:val="VerbatimChar"/>
        </w:rPr>
        <w:t xml:space="preserve">POST /resolve-ticket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Retrieves relevant knowledge from a vector store (FAISS)</w:t>
      </w:r>
    </w:p>
    <w:p>
      <w:pPr>
        <w:pStyle w:val="Compact"/>
        <w:numPr>
          <w:ilvl w:val="0"/>
          <w:numId w:val="1001"/>
        </w:numPr>
      </w:pPr>
      <w:r>
        <w:t xml:space="preserve">Generates structured, MCP-compliant responses using a local LLM (cpp-llama)</w:t>
      </w:r>
    </w:p>
    <w:p>
      <w:pPr>
        <w:pStyle w:val="Compact"/>
        <w:numPr>
          <w:ilvl w:val="0"/>
          <w:numId w:val="1001"/>
        </w:numPr>
      </w:pPr>
      <w:r>
        <w:t xml:space="preserve">Supports fallback mechanisms for prompts and embeddings in production</w:t>
      </w:r>
    </w:p>
    <w:p>
      <w:r>
        <w:pict>
          <v:rect style="width:0;height:1.5pt" o:hralign="center" o:hrstd="t" o:hr="t"/>
        </w:pict>
      </w:r>
    </w:p>
    <w:bookmarkEnd w:id="9"/>
    <w:bookmarkStart w:id="13" w:name="high-level-workflow"/>
    <w:p>
      <w:pPr>
        <w:pStyle w:val="Heading2"/>
      </w:pPr>
      <w:r>
        <w:t xml:space="preserve">2. High-Level Workflow</w:t>
      </w:r>
    </w:p>
    <w:p>
      <w:pPr>
        <w:pStyle w:val="CaptionedFigure"/>
      </w:pPr>
      <w:r>
        <w:drawing>
          <wp:inline>
            <wp:extent cx="5334000" cy="340178"/>
            <wp:effectExtent b="0" l="0" r="0" t="0"/>
            <wp:docPr descr="RAG API FLOW" title="" id="11" name="Picture"/>
            <a:graphic>
              <a:graphicData uri="http://schemas.openxmlformats.org/drawingml/2006/picture">
                <pic:pic>
                  <pic:nvPicPr>
                    <pic:cNvPr descr="docs/assets/rag_api_flow-1.png" id="12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RAG API FLOW</w:t>
      </w:r>
    </w:p>
    <w:p>
      <w:pPr>
        <w:pStyle w:val="Compact"/>
        <w:numPr>
          <w:ilvl w:val="0"/>
          <w:numId w:val="1002"/>
        </w:numPr>
      </w:pPr>
      <w:r>
        <w:t xml:space="preserve">User: Provides the support ticket text.</w:t>
      </w:r>
    </w:p>
    <w:p>
      <w:pPr>
        <w:pStyle w:val="Compact"/>
        <w:numPr>
          <w:ilvl w:val="0"/>
          <w:numId w:val="1002"/>
        </w:numPr>
      </w:pPr>
      <w:r>
        <w:t xml:space="preserve">API Endpoint: Receives the request and triggers the retrieval pipeline.</w:t>
      </w:r>
    </w:p>
    <w:p>
      <w:pPr>
        <w:pStyle w:val="Compact"/>
        <w:numPr>
          <w:ilvl w:val="0"/>
          <w:numId w:val="1002"/>
        </w:numPr>
      </w:pPr>
      <w:r>
        <w:t xml:space="preserve">Prompt Builder: Combines the ticket text with retrieved context and ensures MCP-compliant output format.</w:t>
      </w:r>
    </w:p>
    <w:p>
      <w:pPr>
        <w:pStyle w:val="Compact"/>
        <w:numPr>
          <w:ilvl w:val="0"/>
          <w:numId w:val="1002"/>
        </w:numPr>
      </w:pPr>
      <w:r>
        <w:t xml:space="preserve">Retrieval Module: Fetches top_k relevant document chunks from FAISS embeddings.</w:t>
      </w:r>
    </w:p>
    <w:p>
      <w:pPr>
        <w:pStyle w:val="Compact"/>
        <w:numPr>
          <w:ilvl w:val="0"/>
          <w:numId w:val="1002"/>
        </w:numPr>
      </w:pPr>
      <w:r>
        <w:t xml:space="preserve">LLM: Generates the answer based on context and ticket, adhering to MCP principles.</w:t>
      </w:r>
    </w:p>
    <w:p>
      <w:pPr>
        <w:pStyle w:val="Compact"/>
        <w:numPr>
          <w:ilvl w:val="0"/>
          <w:numId w:val="1002"/>
        </w:numPr>
      </w:pPr>
      <w:r>
        <w:t xml:space="preserve">Response: Structured JSON returned to the user.</w:t>
      </w:r>
    </w:p>
    <w:bookmarkEnd w:id="13"/>
    <w:bookmarkStart w:id="17" w:name="data-flow-diagram"/>
    <w:p>
      <w:pPr>
        <w:pStyle w:val="Heading2"/>
      </w:pPr>
      <w:r>
        <w:t xml:space="preserve">3. Data Flow Diagram</w:t>
      </w:r>
    </w:p>
    <w:p>
      <w:pPr>
        <w:pStyle w:val="CaptionedFigure"/>
      </w:pPr>
      <w:r>
        <w:drawing>
          <wp:inline>
            <wp:extent cx="2667000" cy="4244858"/>
            <wp:effectExtent b="0" l="0" r="0" t="0"/>
            <wp:docPr descr="FAISS Doc Pipeline" title="" id="15" name="Picture"/>
            <a:graphic>
              <a:graphicData uri="http://schemas.openxmlformats.org/drawingml/2006/picture">
                <pic:pic>
                  <pic:nvPicPr>
                    <pic:cNvPr descr="docs/assets/faiss_doc_pipeline-1.png" id="16" name="Picture"/>
                    <pic:cNvPicPr>
                      <a:picLocks noChangeArrowheads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244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FAISS Doc Pipeline</w:t>
      </w:r>
    </w:p>
    <w:p>
      <w:pPr>
        <w:pStyle w:val="Compact"/>
        <w:numPr>
          <w:ilvl w:val="0"/>
          <w:numId w:val="1003"/>
        </w:numPr>
      </w:pPr>
      <w:r>
        <w:t xml:space="preserve">Raw Docs: Stored in data/raw/. Pre-processed, chunked, and embedded into FAISS (data/faiss_index/).</w:t>
      </w:r>
    </w:p>
    <w:p>
      <w:pPr>
        <w:pStyle w:val="Compact"/>
        <w:numPr>
          <w:ilvl w:val="0"/>
          <w:numId w:val="1003"/>
        </w:numPr>
      </w:pPr>
      <w:r>
        <w:t xml:space="preserve">FAISS Vector Store: Stores embeddings with provenance metadata.</w:t>
      </w:r>
    </w:p>
    <w:p>
      <w:pPr>
        <w:pStyle w:val="Compact"/>
        <w:numPr>
          <w:ilvl w:val="0"/>
          <w:numId w:val="1003"/>
        </w:numPr>
      </w:pPr>
      <w:r>
        <w:t xml:space="preserve">Prompt Builder: Combines user query and retrieved chunks into an MCP-compliant prompt.</w:t>
      </w:r>
    </w:p>
    <w:p>
      <w:pPr>
        <w:pStyle w:val="Compact"/>
        <w:numPr>
          <w:ilvl w:val="0"/>
          <w:numId w:val="1003"/>
        </w:numPr>
      </w:pPr>
      <w:r>
        <w:t xml:space="preserve">LLM (cpp-llama): Generates structured output.</w:t>
      </w:r>
    </w:p>
    <w:p>
      <w:pPr>
        <w:pStyle w:val="Compact"/>
        <w:numPr>
          <w:ilvl w:val="0"/>
          <w:numId w:val="1003"/>
        </w:numPr>
      </w:pPr>
      <w:r>
        <w:t xml:space="preserve">Response: Returns JSON including answer, references, and action_required.</w:t>
      </w:r>
    </w:p>
    <w:p>
      <w:r>
        <w:pict>
          <v:rect style="width:0;height:1.5pt" o:hralign="center" o:hrstd="t" o:hr="t"/>
        </w:pict>
      </w:r>
    </w:p>
    <w:bookmarkEnd w:id="17"/>
    <w:bookmarkStart w:id="18" w:name="module-breakdown"/>
    <w:p>
      <w:pPr>
        <w:pStyle w:val="Heading2"/>
      </w:pPr>
      <w:r>
        <w:t xml:space="preserve">4. Module Breakdown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33"/>
        <w:gridCol w:w="658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Module</w:t>
            </w:r>
          </w:p>
        </w:tc>
        <w:tc>
          <w:tcPr/>
          <w:p>
            <w:pPr>
              <w:pStyle w:val="Compact"/>
            </w:pPr>
            <w:r>
              <w:t xml:space="preserve">Responsibility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data_handling</w:t>
            </w:r>
          </w:p>
        </w:tc>
        <w:tc>
          <w:tcPr/>
          <w:p>
            <w:pPr>
              <w:pStyle w:val="Compact"/>
            </w:pPr>
            <w:r>
              <w:t xml:space="preserve">Parse, chunk, embed documents; build FAISS index; manage fallback embeddings.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core</w:t>
            </w:r>
          </w:p>
        </w:tc>
        <w:tc>
          <w:tcPr/>
          <w:p>
            <w:pPr>
              <w:pStyle w:val="Compact"/>
            </w:pPr>
            <w:r>
              <w:t xml:space="preserve">Retrieval module and LLM integration; constructs MCP prompt and generates responses.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api</w:t>
            </w:r>
          </w:p>
        </w:tc>
        <w:tc>
          <w:tcPr/>
          <w:p>
            <w:pPr>
              <w:pStyle w:val="Compact"/>
            </w:pPr>
            <w:r>
              <w:t xml:space="preserve">FastAPI endpoint; receives tickets and returns structured JSON.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utils</w:t>
            </w:r>
          </w:p>
        </w:tc>
        <w:tc>
          <w:tcPr/>
          <w:p>
            <w:pPr>
              <w:pStyle w:val="Compact"/>
            </w:pPr>
            <w:r>
              <w:t xml:space="preserve">Configuration management, logging, and helper functions.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8"/>
    <w:bookmarkStart w:id="19" w:name="fallback-production-considerations"/>
    <w:p>
      <w:pPr>
        <w:pStyle w:val="Heading2"/>
      </w:pPr>
      <w:r>
        <w:t xml:space="preserve">5. Fallback &amp; Production Considerations</w:t>
      </w:r>
    </w:p>
    <w:p>
      <w:pPr>
        <w:pStyle w:val="FirstParagraph"/>
      </w:pPr>
      <w:r>
        <w:rPr>
          <w:b/>
          <w:bCs/>
        </w:rPr>
        <w:t xml:space="preserve">Prompts</w:t>
      </w:r>
      <w:r>
        <w:t xml:space="preserve"> </w:t>
      </w:r>
      <w:r>
        <w:t xml:space="preserve">- Stored in</w:t>
      </w:r>
      <w:r>
        <w:t xml:space="preserve"> </w:t>
      </w:r>
      <w:r>
        <w:rPr>
          <w:rStyle w:val="VerbatimChar"/>
        </w:rPr>
        <w:t xml:space="preserve">prompts/latest.json</w:t>
      </w:r>
      <w:r>
        <w:t xml:space="preserve">.</w:t>
      </w:r>
      <w:r>
        <w:t xml:space="preserve"> </w:t>
      </w:r>
      <w:r>
        <w:t xml:space="preserve">- If the latest file is missing,</w:t>
      </w:r>
      <w:r>
        <w:t xml:space="preserve"> </w:t>
      </w:r>
      <w:r>
        <w:rPr>
          <w:b/>
          <w:bCs/>
        </w:rPr>
        <w:t xml:space="preserve">default prompts</w:t>
      </w:r>
      <w:r>
        <w:t xml:space="preserve"> </w:t>
      </w:r>
      <w:r>
        <w:t xml:space="preserve">baked into the container are used to ensure robustness.</w:t>
      </w:r>
    </w:p>
    <w:p>
      <w:pPr>
        <w:pStyle w:val="BodyText"/>
      </w:pPr>
      <w:r>
        <w:rPr>
          <w:b/>
          <w:bCs/>
        </w:rPr>
        <w:t xml:space="preserve">Embeddings</w:t>
      </w:r>
      <w:r>
        <w:t xml:space="preserve"> </w:t>
      </w:r>
      <w:r>
        <w:t xml:space="preserve">- Pre-embedded FAISS vectors are loaded from</w:t>
      </w:r>
      <w:r>
        <w:t xml:space="preserve"> </w:t>
      </w:r>
      <w:r>
        <w:rPr>
          <w:rStyle w:val="VerbatimChar"/>
        </w:rPr>
        <w:t xml:space="preserve">data/faiss_index/</w:t>
      </w:r>
      <w:r>
        <w:t xml:space="preserve">.</w:t>
      </w:r>
      <w:r>
        <w:t xml:space="preserve"> </w:t>
      </w:r>
      <w:r>
        <w:t xml:space="preserve">- If unavailable, the</w:t>
      </w:r>
      <w:r>
        <w:t xml:space="preserve"> </w:t>
      </w:r>
      <w:r>
        <w:rPr>
          <w:b/>
          <w:bCs/>
        </w:rPr>
        <w:t xml:space="preserve">CI/CD pipeline</w:t>
      </w:r>
      <w:r>
        <w:t xml:space="preserve"> </w:t>
      </w:r>
      <w:r>
        <w:t xml:space="preserve">guarantees that a default index is built and available in the deployment volume.</w:t>
      </w:r>
    </w:p>
    <w:p>
      <w:pPr>
        <w:pStyle w:val="BodyText"/>
      </w:pPr>
      <w:r>
        <w:rPr>
          <w:b/>
          <w:bCs/>
        </w:rPr>
        <w:t xml:space="preserve">Deployment</w:t>
      </w:r>
      <w:r>
        <w:t xml:space="preserve"> </w:t>
      </w:r>
      <w:r>
        <w:t xml:space="preserve">- Docker</w:t>
      </w:r>
      <w:r>
        <w:t xml:space="preserve"> </w:t>
      </w:r>
      <w:r>
        <w:rPr>
          <w:b/>
          <w:bCs/>
        </w:rPr>
        <w:t xml:space="preserve">multi-stage build</w:t>
      </w:r>
      <w:r>
        <w:t xml:space="preserve"> </w:t>
      </w:r>
      <w:r>
        <w:t xml:space="preserve">is used for deployment only.</w:t>
      </w:r>
      <w:r>
        <w:t xml:space="preserve"> </w:t>
      </w:r>
      <w:r>
        <w:t xml:space="preserve">- API and FAISS index are deployed; developers do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need to run models inside Docker.</w:t>
      </w:r>
      <w:r>
        <w:t xml:space="preserve"> </w:t>
      </w:r>
      <w:r>
        <w:t xml:space="preserve">- Future work could integrate</w:t>
      </w:r>
      <w:r>
        <w:t xml:space="preserve"> </w:t>
      </w:r>
      <w:r>
        <w:rPr>
          <w:b/>
          <w:bCs/>
        </w:rPr>
        <w:t xml:space="preserve">Kubernetes</w:t>
      </w:r>
      <w:r>
        <w:t xml:space="preserve"> </w:t>
      </w:r>
      <w:r>
        <w:t xml:space="preserve">for scalable deployment.</w:t>
      </w:r>
    </w:p>
    <w:p>
      <w:r>
        <w:pict>
          <v:rect style="width:0;height:1.5pt" o:hralign="center" o:hrstd="t" o:hr="t"/>
        </w:pict>
      </w:r>
    </w:p>
    <w:bookmarkEnd w:id="19"/>
    <w:bookmarkStart w:id="20" w:name="future-enhancements"/>
    <w:p>
      <w:pPr>
        <w:pStyle w:val="Heading2"/>
      </w:pPr>
      <w:r>
        <w:t xml:space="preserve">6. Future Enhancements</w:t>
      </w:r>
    </w:p>
    <w:p>
      <w:pPr>
        <w:pStyle w:val="Compact"/>
        <w:numPr>
          <w:ilvl w:val="0"/>
          <w:numId w:val="1004"/>
        </w:numPr>
      </w:pPr>
      <w:r>
        <w:t xml:space="preserve">Hot-reload prompts and embeddings.</w:t>
      </w:r>
    </w:p>
    <w:p>
      <w:pPr>
        <w:pStyle w:val="Compact"/>
        <w:numPr>
          <w:ilvl w:val="0"/>
          <w:numId w:val="1004"/>
        </w:numPr>
      </w:pPr>
      <w:r>
        <w:t xml:space="preserve">Human-in-the-loop evaluation and MLflow tracking for prompt optimization.</w:t>
      </w:r>
    </w:p>
    <w:p>
      <w:pPr>
        <w:pStyle w:val="Compact"/>
        <w:numPr>
          <w:ilvl w:val="0"/>
          <w:numId w:val="1004"/>
        </w:numPr>
      </w:pPr>
      <w:r>
        <w:t xml:space="preserve">Swap FAISS for cloud vector DBs for scaling.</w:t>
      </w:r>
    </w:p>
    <w:p>
      <w:pPr>
        <w:pStyle w:val="Compact"/>
        <w:numPr>
          <w:ilvl w:val="0"/>
          <w:numId w:val="1004"/>
        </w:numPr>
      </w:pPr>
      <w:r>
        <w:t xml:space="preserve">Kubernetes deployment for high availability and scaling.</w:t>
      </w:r>
    </w:p>
    <w:p>
      <w:pPr>
        <w:pStyle w:val="Compact"/>
        <w:numPr>
          <w:ilvl w:val="0"/>
          <w:numId w:val="1004"/>
        </w:numPr>
      </w:pPr>
      <w:r>
        <w:t xml:space="preserve">Observability with logging and metrics.</w:t>
      </w:r>
    </w:p>
    <w:p>
      <w:r>
        <w:pict>
          <v:rect style="width:0;height:1.5pt" o:hralign="center" o:hrstd="t" o:hr="t"/>
        </w:pict>
      </w:r>
    </w:p>
    <w:bookmarkEnd w:id="20"/>
    <w:bookmarkStart w:id="21" w:name="notes"/>
    <w:p>
      <w:pPr>
        <w:pStyle w:val="Heading2"/>
      </w:pPr>
      <w:r>
        <w:t xml:space="preserve">7. Notes</w:t>
      </w:r>
    </w:p>
    <w:p>
      <w:pPr>
        <w:pStyle w:val="FirstParagraph"/>
      </w:pPr>
      <w:r>
        <w:t xml:space="preserve">All document chunks include provenance metadata (filename, section, subsection) for traceable references in responses.</w:t>
      </w:r>
    </w:p>
    <w:p>
      <w:pPr>
        <w:pStyle w:val="BodyText"/>
      </w:pPr>
      <w:r>
        <w:t xml:space="preserve">MCP compliance ensures responses are structured, reproducible, and easy to evaluate.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4" Target="media/rId14.png" /><Relationship Type="http://schemas.openxmlformats.org/officeDocument/2006/relationships/image" Id="rId10" Target="media/rId1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2025-09-01T17:37:54Z</dcterms:created>
  <dcterms:modified xsi:type="dcterms:W3CDTF">2025-09-01T17:37:54Z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