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986C" w14:textId="77777777">
      <w:pPr>
        <w:pStyle w:val="Title"/>
        <w:keepNext/>
        <w:keepLines w:val="0"/>
        <w:widowControl/>
        <w:jc w:val="left"/>
      </w:pPr>
      <w:r>
        <w:rPr>
          <w:rFonts w:ascii="Arial" w:hAnsi="Arial"/>
          <w:color w:val="000000"/>
        </w:rPr>
        <w:t>Information Security Policy</w:t>
      </w:r>
    </w:p>
    <w:p w14:paraId="66642E57" w14:textId="0A587F42">
      <w:pPr>
        <w:pStyle w:val="Subtitle"/>
        <w:keepNext/>
        <w:keepLines w:val="0"/>
        <w:widowControl/>
        <w:jc w:val="left"/>
      </w:pPr>
      <w:r>
        <w:rPr>
          <w:rFonts w:ascii="Arial" w:hAnsi="Arial"/>
          <w:color w:val="000000"/>
        </w:rPr>
        <w:t>ISO IEC 27001 and NIST Cybersecurity Framework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76"/>
        <w:gridCol w:w="7128"/>
      </w:tblGrid>
      <w:tr>
        <w:tc>
          <w:tcPr>
            <w:tcW w:type="dxa" w:w="2376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Organization</w:t>
            </w:r>
          </w:p>
        </w:tc>
        <w:tc>
          <w:tcPr>
            <w:tcW w:type="dxa" w:w="7128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[Organization Name]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Policy owner</w:t>
            </w:r>
          </w:p>
        </w:tc>
        <w:tc>
          <w:tcPr>
            <w:tcW w:type="dxa" w:w="7128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Information Security Manager or ISMS Lead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Approval authority</w:t>
            </w:r>
          </w:p>
        </w:tc>
        <w:tc>
          <w:tcPr>
            <w:tcW w:type="dxa" w:w="7128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Top management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Review frequency</w:t>
            </w:r>
          </w:p>
        </w:tc>
        <w:tc>
          <w:tcPr>
            <w:tcW w:type="dxa" w:w="7128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  <w:shd w:fill="F3F6F9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At least annually and after significant change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Framework alignment</w:t>
            </w:r>
          </w:p>
        </w:tc>
        <w:tc>
          <w:tcPr>
            <w:tcW w:type="dxa" w:w="7128"/>
            <w:vAlign w:val="center"/>
            <w:tcMar>
              <w:top w:w="110" w:type="dxa"/>
              <w:left w:w="130" w:type="dxa"/>
              <w:bottom w:w="110" w:type="dxa"/>
              <w:right w:w="13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ISO/IEC 27001:2022 and NIST Cybersecurity Framework 2.0</w:t>
            </w:r>
          </w:p>
        </w:tc>
      </w:tr>
    </w:tbl>
    <w:p w14:paraId="1C704EDC" w14:textId="376C21D4">
      <w:pPr>
        <w:keepNext w:val="0"/>
        <w:keepLines/>
        <w:widowControl/>
        <w:spacing w:after="140" w:line="269" w:lineRule="auto" w:before="240"/>
      </w:pPr>
      <w:r>
        <w:rPr>
          <w:rFonts w:ascii="Arial" w:hAnsi="Arial"/>
          <w:color w:val="000000"/>
        </w:rPr>
        <w:t>This policy defines the organization's direction and requirements for protecting information assets. It supports the organization's Information Security Management System and alignment with ISO/IEC 27001:2022. The policy also aligns with the Govern function of the NIST Cybersecurity Framework 2.0.</w:t>
      </w:r>
    </w:p>
    <w:p w14:paraId="7E191A3D" w14:textId="01F9CCF5">
      <w:pPr>
        <w:keepNext w:val="0"/>
        <w:keepLines/>
        <w:widowControl/>
        <w:spacing w:after="140" w:line="269" w:lineRule="auto"/>
      </w:pPr>
      <w:r>
        <w:rPr>
          <w:rFonts w:ascii="Arial" w:hAnsi="Arial"/>
          <w:color w:val="000000"/>
        </w:rPr>
        <w:t>The organization depends on accurate business data, stakeholder information, operational systems, and supporting technology. Protecting these assets helps maintain reliable operations, meet legal and contractual obligations, and preserve stakeholder trust.</w:t>
      </w:r>
    </w:p>
    <w:p w14:paraId="1B8E1149" w14:textId="77777777">
      <w:pPr>
        <w:pStyle w:val="Heading1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1 Purpose</w:t>
      </w:r>
    </w:p>
    <w:p w14:paraId="3439DC4F" w14:textId="2F2FCA67">
      <w:pPr>
        <w:keepNext w:val="0"/>
        <w:keepLines/>
        <w:widowControl/>
      </w:pPr>
      <w:r>
        <w:rPr>
          <w:rFonts w:ascii="Arial" w:hAnsi="Arial"/>
          <w:color w:val="000000"/>
        </w:rPr>
        <w:t>This policy establishes the organization's commitment to protect information assets, manage information security risk, and maintain an effective Information Security Management System, or ISMS.</w:t>
      </w:r>
    </w:p>
    <w:p w14:paraId="7B4F5D93" w14:textId="10688562">
      <w:pPr>
        <w:keepNext w:val="0"/>
        <w:keepLines/>
        <w:widowControl/>
      </w:pPr>
      <w:r>
        <w:rPr>
          <w:rFonts w:ascii="Arial" w:hAnsi="Arial"/>
          <w:color w:val="000000"/>
        </w:rPr>
        <w:t>The policy provides the governing framework for security decisions, supporting policies, risk treatment, and continual improvement across the organization.</w:t>
      </w:r>
    </w:p>
    <w:p w14:paraId="2EC5D733" w14:textId="77777777">
      <w:pPr>
        <w:pStyle w:val="Heading1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2 Scope</w:t>
      </w:r>
    </w:p>
    <w:p w14:paraId="76DD90AC" w14:textId="77777777">
      <w:pPr>
        <w:keepNext/>
        <w:keepLines/>
        <w:widowControl/>
      </w:pPr>
      <w:r>
        <w:rPr>
          <w:rFonts w:ascii="Arial" w:hAnsi="Arial"/>
          <w:color w:val="000000"/>
        </w:rPr>
        <w:t>This policy applies to the following people, assets, and environments:</w:t>
      </w:r>
    </w:p>
    <w:p w14:paraId="2D040BD3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All organization employees, contractors, interns, and third parties who access or process organizational information.</w:t>
      </w:r>
    </w:p>
    <w:p w14:paraId="0F466284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All information assets within the ISMS scope, including data, applications, systems, networks, cloud services, and physical media.</w:t>
      </w:r>
    </w:p>
    <w:p w14:paraId="5A5E936B" w14:textId="0E49E8D5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All locations where the organization's information is stored, processed, or transmitted, including on-premises, remote, and cloud environments.</w:t>
      </w:r>
    </w:p>
    <w:p w14:paraId="7DB2885C" w14:textId="6589D606">
      <w:pPr>
        <w:keepNext w:val="0"/>
        <w:keepLines/>
        <w:widowControl/>
      </w:pPr>
      <w:r>
        <w:rPr>
          <w:rFonts w:ascii="Arial" w:hAnsi="Arial"/>
          <w:color w:val="000000"/>
        </w:rPr>
      </w:r>
    </w:p>
    <w:p w14:paraId="794A4849" w14:textId="77777777">
      <w:pPr>
        <w:pStyle w:val="Heading1"/>
        <w:keepNext/>
        <w:keepLines w:val="0"/>
        <w:pageBreakBefore/>
        <w:widowControl/>
      </w:pPr>
      <w:r>
        <w:rPr>
          <w:rFonts w:ascii="Arial" w:hAnsi="Arial"/>
          <w:color w:val="000000"/>
        </w:rPr>
        <w:t>3 Information Security Objectives</w:t>
      </w:r>
    </w:p>
    <w:p w14:paraId="31C3FF3F" w14:textId="77777777">
      <w:pPr>
        <w:keepNext/>
        <w:keepLines/>
        <w:widowControl/>
      </w:pPr>
      <w:r>
        <w:rPr>
          <w:rFonts w:ascii="Arial" w:hAnsi="Arial"/>
          <w:color w:val="000000"/>
        </w:rPr>
        <w:t>The organization's information security objectives are to:</w:t>
      </w:r>
    </w:p>
    <w:p w14:paraId="4723EEED" w14:textId="439E8DBB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Protect the confidentiality, integrity, and availability of information assets in line with business needs and applicable obligations.</w:t>
      </w:r>
    </w:p>
    <w:p w14:paraId="4891C82C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Achieve and maintain conformity with ISO/IEC 27001:2022 and applicable legal, regulatory, and contractual requirements.</w:t>
      </w:r>
    </w:p>
    <w:p w14:paraId="1BB9242B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Manage information security risk through a documented, risk-based process aligned with the NIST Cybersecurity Framework 2.0 and the organization's risk appetite.</w:t>
      </w:r>
    </w:p>
    <w:p w14:paraId="28AD337B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Continually improve the ISMS and its controls using monitoring results, audits, incidents, and changes in threats, technology, or business requirements.</w:t>
      </w:r>
    </w:p>
    <w:p w14:paraId="7103D0B3" w14:textId="0214940F">
      <w:pPr>
        <w:keepNext w:val="0"/>
        <w:keepLines/>
        <w:widowControl/>
      </w:pPr>
      <w:r>
        <w:rPr>
          <w:rFonts w:ascii="Arial" w:hAnsi="Arial"/>
          <w:color w:val="000000"/>
        </w:rPr>
        <w:t>These objectives provide the basis for measurable information security targets at the departmental and system levels.</w:t>
      </w:r>
    </w:p>
    <w:p w14:paraId="3A6A61E2" w14:textId="77777777">
      <w:pPr>
        <w:pStyle w:val="Heading1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4 References</w:t>
      </w:r>
    </w:p>
    <w:p w14:paraId="1E39E283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NIST Cybersecurity Framework 2.0, Govern function, GV.PO Policies, Processes, and Procedures</w:t>
      </w:r>
    </w:p>
    <w:p w14:paraId="2DB3730A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ISO/IEC 27001:2022, Clause 5.2, Information Security Policy</w:t>
      </w:r>
    </w:p>
    <w:p w14:paraId="585109FE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ISO/IEC 27001:2022, Annex A control 5.1, Policies for Information Security</w:t>
      </w:r>
    </w:p>
    <w:p w14:paraId="6F4349AD" w14:textId="2F198652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Applicable laws, regulations, and contractual obligations relevant to the organization's operations</w:t>
      </w:r>
    </w:p>
    <w:p w14:paraId="036E6923" w14:textId="77777777">
      <w:pPr>
        <w:pStyle w:val="Heading1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5 Policy Requirements</w:t>
      </w:r>
    </w:p>
    <w:p w14:paraId="3DC41DC9" w14:textId="0DA7EFFE">
      <w:pPr>
        <w:pStyle w:val="Heading2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5.1 Management Commitment</w:t>
      </w:r>
    </w:p>
    <w:p w14:paraId="27B77918" w14:textId="0B71678F">
      <w:pPr>
        <w:keepNext w:val="0"/>
        <w:keepLines/>
        <w:widowControl/>
      </w:pPr>
      <w:r>
        <w:rPr>
          <w:rFonts w:ascii="Arial" w:hAnsi="Arial"/>
          <w:color w:val="000000"/>
        </w:rPr>
        <w:t>Top management will approve and support this policy and ensure that it remains appropriate to the organization's purpose, operating context, and strategic direction.</w:t>
      </w:r>
    </w:p>
    <w:p w14:paraId="44AD55BA" w14:textId="326C3577">
      <w:pPr>
        <w:keepNext w:val="0"/>
        <w:keepLines/>
        <w:widowControl/>
      </w:pPr>
      <w:r>
        <w:rPr>
          <w:rFonts w:ascii="Arial" w:hAnsi="Arial"/>
          <w:color w:val="000000"/>
        </w:rPr>
        <w:t>Top management will provide the resources needed to implement, operate, maintain, and continually improve the ISMS.</w:t>
      </w:r>
    </w:p>
    <w:p w14:paraId="48BE8967" w14:textId="77777777">
      <w:pPr>
        <w:pStyle w:val="Heading2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5.2 Risk Management</w:t>
      </w:r>
    </w:p>
    <w:p w14:paraId="50A9FD2C" w14:textId="386545C5">
      <w:pPr>
        <w:keepNext w:val="0"/>
        <w:keepLines/>
        <w:widowControl/>
      </w:pPr>
      <w:r>
        <w:rPr>
          <w:rFonts w:ascii="Arial" w:hAnsi="Arial"/>
          <w:color w:val="000000"/>
        </w:rPr>
        <w:t>The organization will identify, assess, and treat information security risks through a documented risk management process consistent with ISO/IEC 27001:2022 and the NIST Cybersecurity Framework 2.0.</w:t>
      </w:r>
    </w:p>
    <w:p w14:paraId="24626923" w14:textId="4E7C1B79">
      <w:pPr>
        <w:keepNext w:val="0"/>
        <w:keepLines/>
        <w:widowControl/>
      </w:pPr>
      <w:r>
        <w:rPr>
          <w:rFonts w:ascii="Arial" w:hAnsi="Arial"/>
          <w:color w:val="000000"/>
        </w:rPr>
        <w:t>The organization will document selected controls, including applicable ISO/IEC 27001 Annex A controls, in the Statement of Applicability and implement them to reduce risk to approved levels.</w:t>
      </w:r>
    </w:p>
    <w:p w14:paraId="6E68299F" w14:textId="77777777">
      <w:pPr>
        <w:pStyle w:val="Heading2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5.3 Supporting Policies</w:t>
      </w:r>
    </w:p>
    <w:p w14:paraId="2D11A4A9" w14:textId="3E3F7E16">
      <w:pPr>
        <w:keepNext w:val="0"/>
        <w:keepLines/>
        <w:widowControl/>
      </w:pPr>
      <w:r>
        <w:rPr>
          <w:rFonts w:ascii="Arial" w:hAnsi="Arial"/>
          <w:color w:val="000000"/>
        </w:rPr>
        <w:t>This policy provides top-level direction and is supported by topic-specific policies, including access control, acceptable use, incident management, business continuity, supplier security, and cloud security.</w:t>
      </w:r>
    </w:p>
    <w:p w14:paraId="18E6B074" w14:textId="77777777">
      <w:pPr>
        <w:keepNext/>
        <w:keepLines/>
        <w:widowControl/>
      </w:pPr>
      <w:r>
        <w:rPr>
          <w:rFonts w:ascii="Arial" w:hAnsi="Arial"/>
          <w:color w:val="000000"/>
        </w:rPr>
        <w:t>Each supporting policy must:</w:t>
      </w:r>
    </w:p>
    <w:p w14:paraId="650C0970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Be consistent with this policy and the ISMS objectives.</w:t>
      </w:r>
    </w:p>
    <w:p w14:paraId="19D2E97A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Be approved by the appropriate management authority.</w:t>
      </w:r>
    </w:p>
    <w:p w14:paraId="4B53B45A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Be communicated to, and acknowledged by, relevant personnel and third parties.</w:t>
      </w:r>
    </w:p>
    <w:p w14:paraId="653AC206" w14:textId="77777777">
      <w:pPr>
        <w:pStyle w:val="Heading2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5.4 Legal Regulatory and Contractual Compliance</w:t>
      </w:r>
    </w:p>
    <w:p w14:paraId="1A325E83" w14:textId="3AD69261">
      <w:pPr>
        <w:keepNext w:val="0"/>
        <w:keepLines/>
        <w:widowControl/>
      </w:pPr>
      <w:r>
        <w:rPr>
          <w:rFonts w:ascii="Arial" w:hAnsi="Arial"/>
          <w:color w:val="000000"/>
        </w:rPr>
        <w:t>The organization must address applicable legal, regulatory, contractual, industry, privacy, and data protection requirements in its information security controls and update the ISMS and policies when those requirements change.</w:t>
      </w:r>
    </w:p>
    <w:p w14:paraId="26C83C8E" w14:textId="77777777">
      <w:pPr>
        <w:pStyle w:val="Heading2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5.5 Roles and Responsibilities</w:t>
      </w:r>
    </w:p>
    <w:p w14:paraId="6AC7D871" w14:textId="6CDE1193">
      <w:pPr>
        <w:keepNext w:val="0"/>
        <w:keepLines/>
        <w:widowControl/>
      </w:pPr>
      <w:r>
        <w:rPr>
          <w:rFonts w:ascii="Arial" w:hAnsi="Arial"/>
          <w:color w:val="000000"/>
        </w:rPr>
        <w:t>The organization will define, assign, and communicate information security roles and responsibilities.</w:t>
      </w:r>
    </w:p>
    <w:p w14:paraId="0FC7647C" w14:textId="77777777">
      <w:pPr>
        <w:keepNext/>
        <w:keepLines/>
        <w:widowControl/>
      </w:pPr>
      <w:r>
        <w:rPr>
          <w:rFonts w:ascii="Arial" w:hAnsi="Arial"/>
          <w:color w:val="000000"/>
        </w:rPr>
        <w:t>Key responsibilities include:</w:t>
      </w:r>
    </w:p>
    <w:p w14:paraId="6F669F38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Top management maintains overall accountability for the ISMS and this policy.</w:t>
      </w:r>
    </w:p>
    <w:p w14:paraId="4EF70DB2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The Information Security Manager or ISMS Lead coordinates ISMS implementation, risk management, monitoring, and reporting.</w:t>
      </w:r>
    </w:p>
    <w:p w14:paraId="76D5444C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Process owners and system owners ensure that assigned controls are implemented and operate effectively in their areas.</w:t>
      </w:r>
    </w:p>
    <w:p w14:paraId="6EAA0141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All personnel must comply with applicable policies, complete required training, and promptly report suspected information security events or incidents.</w:t>
      </w:r>
    </w:p>
    <w:p w14:paraId="0AFF1F51" w14:textId="77777777">
      <w:pPr>
        <w:pStyle w:val="Heading2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5.6 Awareness and Training</w:t>
      </w:r>
    </w:p>
    <w:p w14:paraId="78610DE9" w14:textId="4C601297">
      <w:pPr>
        <w:keepNext w:val="0"/>
        <w:keepLines/>
        <w:widowControl/>
      </w:pPr>
      <w:r>
        <w:rPr>
          <w:rFonts w:ascii="Arial" w:hAnsi="Arial"/>
          <w:color w:val="000000"/>
        </w:rPr>
        <w:t>The organization will provide information security awareness, education, and training appropriate to personnel roles and responsibilities.</w:t>
      </w:r>
    </w:p>
    <w:p w14:paraId="3E5F9948" w14:textId="77777777">
      <w:pPr>
        <w:keepNext w:val="0"/>
        <w:keepLines/>
        <w:widowControl/>
      </w:pPr>
      <w:r>
        <w:rPr>
          <w:rFonts w:ascii="Arial" w:hAnsi="Arial"/>
          <w:color w:val="000000"/>
        </w:rPr>
        <w:t>Personnel must acknowledge this policy and applicable supporting policies when hired, at defined intervals, and after significant updates.</w:t>
      </w:r>
    </w:p>
    <w:p w14:paraId="74883FE3" w14:textId="77777777">
      <w:pPr>
        <w:pStyle w:val="Heading2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5.7 Policy Documentation and Control</w:t>
      </w:r>
    </w:p>
    <w:p w14:paraId="2A07D46A" w14:textId="30EC295E">
      <w:pPr>
        <w:keepNext w:val="0"/>
        <w:keepLines/>
        <w:widowControl/>
      </w:pPr>
      <w:r>
        <w:rPr>
          <w:rFonts w:ascii="Arial" w:hAnsi="Arial"/>
          <w:color w:val="000000"/>
        </w:rPr>
        <w:t>This policy and its supporting policies must be approved, version-controlled, protected from unauthorized change, and accessible to relevant stakeholders.</w:t>
      </w:r>
    </w:p>
    <w:p w14:paraId="26FD22FA" w14:textId="4DF72FFD">
      <w:pPr>
        <w:keepNext w:val="0"/>
        <w:keepLines/>
        <w:widowControl/>
      </w:pPr>
      <w:r>
        <w:rPr>
          <w:rFonts w:ascii="Arial" w:hAnsi="Arial"/>
          <w:color w:val="000000"/>
        </w:rPr>
        <w:t>Obsolete or superseded versions must be removed from routine use and retained only when required for legal, regulatory, contractual, or recordkeeping purposes.</w:t>
      </w:r>
    </w:p>
    <w:p w14:paraId="5833A99C" w14:textId="77777777">
      <w:pPr>
        <w:pStyle w:val="Heading1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6 Monitoring Review and Continual Improvement</w:t>
      </w:r>
    </w:p>
    <w:p w14:paraId="50FEA8E0" w14:textId="6A998874">
      <w:pPr>
        <w:keepNext/>
        <w:keepLines/>
        <w:widowControl/>
      </w:pPr>
      <w:r>
        <w:rPr>
          <w:rFonts w:ascii="Arial" w:hAnsi="Arial"/>
          <w:color w:val="000000"/>
        </w:rPr>
        <w:t>This policy must be reviewed at least annually and whenever significant changes occur in:</w:t>
      </w:r>
    </w:p>
    <w:p w14:paraId="54A18618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Business objectives or organizational structure.</w:t>
      </w:r>
    </w:p>
    <w:p w14:paraId="53A23610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The risk environment, threats, or vulnerabilities.</w:t>
      </w:r>
    </w:p>
    <w:p w14:paraId="1100DA82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Legal, regulatory, or contractual obligations.</w:t>
      </w:r>
    </w:p>
    <w:p w14:paraId="68CB66C5" w14:textId="77777777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Technology platforms, business processes, or critical suppliers.</w:t>
      </w:r>
    </w:p>
    <w:p w14:paraId="527BDF58" w14:textId="787D8D7C">
      <w:pPr>
        <w:keepNext w:val="0"/>
        <w:keepLines/>
        <w:widowControl/>
      </w:pPr>
      <w:r>
        <w:rPr>
          <w:rFonts w:ascii="Arial" w:hAnsi="Arial"/>
          <w:color w:val="000000"/>
        </w:rPr>
        <w:t>The organization will use internal audits, management reviews, incident lessons, risk assessments, and performance results to improve this policy and the ISMS.</w:t>
      </w:r>
    </w:p>
    <w:p w14:paraId="75341F89" w14:textId="77777777">
      <w:pPr>
        <w:pStyle w:val="Heading1"/>
        <w:keepNext/>
        <w:keepLines w:val="0"/>
        <w:pageBreakBefore w:val="0"/>
        <w:widowControl/>
      </w:pPr>
      <w:r>
        <w:rPr>
          <w:rFonts w:ascii="Arial" w:hAnsi="Arial"/>
          <w:color w:val="000000"/>
        </w:rPr>
        <w:t>7 Enforcement and Exceptions</w:t>
      </w:r>
    </w:p>
    <w:p w14:paraId="6BAAD28A" w14:textId="77777777">
      <w:pPr>
        <w:keepNext w:val="0"/>
        <w:keepLines/>
        <w:widowControl/>
      </w:pPr>
      <w:r>
        <w:rPr>
          <w:rFonts w:ascii="Arial" w:hAnsi="Arial"/>
          <w:color w:val="000000"/>
        </w:rPr>
        <w:t>Compliance with this policy is mandatory for all in-scope personnel and third parties. Violations may result in disciplinary action, termination of access or contract, and legal action when applicable.</w:t>
      </w:r>
    </w:p>
    <w:p w14:paraId="135BD712" w14:textId="77777777">
      <w:pPr>
        <w:keepNext/>
        <w:keepLines/>
        <w:widowControl/>
      </w:pPr>
      <w:r>
        <w:rPr>
          <w:rFonts w:ascii="Arial" w:hAnsi="Arial"/>
          <w:color w:val="000000"/>
        </w:rPr>
        <w:t>Any exception to this policy must:</w:t>
      </w:r>
    </w:p>
    <w:p w14:paraId="337809F9" w14:textId="6D3D9C91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State the business need and the information security risk created by the exception.</w:t>
      </w:r>
    </w:p>
    <w:p w14:paraId="29A31420" w14:textId="0FA6AF14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Be approved by the Information Security Manager or ISMS Lead and the relevant management authority.</w:t>
      </w:r>
    </w:p>
    <w:p w14:paraId="45568669" w14:textId="7047D29C">
      <w:pPr>
        <w:pStyle w:val="PolicyBullet"/>
        <w:keepNext w:val="0"/>
        <w:keepLines/>
        <w:widowControl/>
      </w:pPr>
      <w:r>
        <w:rPr>
          <w:rFonts w:ascii="Arial" w:hAnsi="Arial"/>
          <w:color w:val="000000"/>
        </w:rPr>
        <w:t>•  Include documented compensating controls, an accountable owner, and a defined review or expiration date.</w:t>
      </w:r>
    </w:p>
    <w:p w14:paraId="1D4E0DBC" w14:textId="77777777">
      <w:pPr>
        <w:keepNext w:val="0"/>
        <w:keepLines/>
        <w:widowControl/>
      </w:pPr>
      <w:r>
        <w:rPr>
          <w:rFonts w:ascii="Arial" w:hAnsi="Arial"/>
          <w:color w:val="000000"/>
        </w:rPr>
      </w:r>
    </w:p>
    <w:sectPr>
      <w:footerReference w:type="default" r:id="rId10"/>
      <w:headerReference w:type="default" r:id="rId11"/>
      <w:pgSz w:w="12240" w:h="15840"/>
      <w:pgMar w:top="1181" w:right="1296" w:bottom="1037" w:left="1296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rial" w:hAnsi="Arial"/>
        <w:color w:val="666666"/>
        <w:sz w:val="18"/>
      </w:rPr>
      <w:t xml:space="preserve">Information Security Policy  |  Page </w:t>
    </w:r>
    <w:r>
      <w:rPr>
        <w:rFonts w:ascii="Arial" w:hAnsi="Arial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84E8E"/>
    <w:multiLevelType w:val="multilevel"/>
    <w:tmpl w:val="DC7E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83341"/>
    <w:multiLevelType w:val="multilevel"/>
    <w:tmpl w:val="EF9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86571"/>
    <w:multiLevelType w:val="multilevel"/>
    <w:tmpl w:val="CE3C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9659B"/>
    <w:multiLevelType w:val="multilevel"/>
    <w:tmpl w:val="8F5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F4516"/>
    <w:multiLevelType w:val="multilevel"/>
    <w:tmpl w:val="50EE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A3FE1"/>
    <w:multiLevelType w:val="multilevel"/>
    <w:tmpl w:val="AD8C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54B7A"/>
    <w:multiLevelType w:val="multilevel"/>
    <w:tmpl w:val="9E98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81EAE"/>
    <w:multiLevelType w:val="multilevel"/>
    <w:tmpl w:val="45A2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D5A3C"/>
    <w:multiLevelType w:val="multilevel"/>
    <w:tmpl w:val="D92E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8B754C"/>
    <w:multiLevelType w:val="multilevel"/>
    <w:tmpl w:val="4B12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A71CE8"/>
    <w:multiLevelType w:val="multilevel"/>
    <w:tmpl w:val="5806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C289A"/>
    <w:multiLevelType w:val="multilevel"/>
    <w:tmpl w:val="C70E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6C1E0C"/>
    <w:multiLevelType w:val="multilevel"/>
    <w:tmpl w:val="DE18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8F3B5F"/>
    <w:multiLevelType w:val="multilevel"/>
    <w:tmpl w:val="EBA8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511546">
    <w:abstractNumId w:val="6"/>
  </w:num>
  <w:num w:numId="2" w16cid:durableId="370689252">
    <w:abstractNumId w:val="3"/>
  </w:num>
  <w:num w:numId="3" w16cid:durableId="2100247433">
    <w:abstractNumId w:val="1"/>
  </w:num>
  <w:num w:numId="4" w16cid:durableId="2092119456">
    <w:abstractNumId w:val="5"/>
  </w:num>
  <w:num w:numId="5" w16cid:durableId="368337942">
    <w:abstractNumId w:val="10"/>
  </w:num>
  <w:num w:numId="6" w16cid:durableId="1738164751">
    <w:abstractNumId w:val="8"/>
  </w:num>
  <w:num w:numId="7" w16cid:durableId="1962683872">
    <w:abstractNumId w:val="9"/>
  </w:num>
  <w:num w:numId="8" w16cid:durableId="1992711296">
    <w:abstractNumId w:val="0"/>
  </w:num>
  <w:num w:numId="9" w16cid:durableId="1206528844">
    <w:abstractNumId w:val="13"/>
  </w:num>
  <w:num w:numId="10" w16cid:durableId="10451369">
    <w:abstractNumId w:val="4"/>
  </w:num>
  <w:num w:numId="11" w16cid:durableId="1402364265">
    <w:abstractNumId w:val="2"/>
  </w:num>
  <w:num w:numId="12" w16cid:durableId="1102727986">
    <w:abstractNumId w:val="7"/>
  </w:num>
  <w:num w:numId="13" w16cid:durableId="1486966771">
    <w:abstractNumId w:val="11"/>
  </w:num>
  <w:num w:numId="14" w16cid:durableId="13200418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1C"/>
    <w:rsid w:val="001A3843"/>
    <w:rsid w:val="002F0B2E"/>
    <w:rsid w:val="00482415"/>
    <w:rsid w:val="00507C86"/>
    <w:rsid w:val="00525135"/>
    <w:rsid w:val="00531655"/>
    <w:rsid w:val="005539B1"/>
    <w:rsid w:val="005D7165"/>
    <w:rsid w:val="005E3AC1"/>
    <w:rsid w:val="00632B89"/>
    <w:rsid w:val="006844B5"/>
    <w:rsid w:val="008A14AE"/>
    <w:rsid w:val="009F7C1C"/>
    <w:rsid w:val="00A14550"/>
    <w:rsid w:val="00A16C4B"/>
    <w:rsid w:val="00AD3499"/>
    <w:rsid w:val="00C53C94"/>
    <w:rsid w:val="00DE68B6"/>
    <w:rsid w:val="00E24761"/>
    <w:rsid w:val="00EB34CB"/>
    <w:rsid w:val="00FB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0B28"/>
  <w15:chartTrackingRefBased/>
  <w15:docId w15:val="{28171F20-38A2-480C-9F00-C6032C6E173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7C1C"/>
    <w:pPr>
      <w:keepNext/>
      <w:keepLines/>
      <w:widowControl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C1C"/>
    <w:pPr>
      <w:keepNext/>
      <w:keepLines/>
      <w:widowControl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color w:val="000000"/>
      <w:sz w:val="23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C1C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C1C"/>
    <w:pPr>
      <w:numPr>
        <w:ilvl w:val="1"/>
      </w:numPr>
      <w:spacing w:after="280"/>
    </w:pPr>
    <w:rPr>
      <w:rFonts w:eastAsiaTheme="majorEastAsia" w:cstheme="majorBidi" w:ascii="Arial" w:hAnsi="Arial"/>
      <w:i w:val="0"/>
      <w:color w:val="404040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C1C"/>
    <w:rPr>
      <w:b/>
      <w:bCs/>
      <w:smallCaps/>
      <w:color w:val="0F4761" w:themeColor="accent1" w:themeShade="BF"/>
      <w:spacing w:val="5"/>
    </w:rPr>
  </w:style>
  <w:style w:type="paragraph" w:customStyle="1" w:styleId="PolicyBullet">
    <w:name w:val="Policy Bullet"/>
    <w:basedOn w:val="Normal"/>
    <w:pPr>
      <w:spacing w:after="60" w:line="252" w:lineRule="auto"/>
      <w:ind w:left="403" w:hanging="259"/>
    </w:pPr>
    <w:rPr>
      <w:rFonts w:ascii="Arial" w:hAnsi="Arial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webSettings" Target="webSettings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Policy</dc:title>
  <dc:subject>Information security governance aligned with ISO IEC 27001 and NIST CSF 2.0</dc:subject>
  <dc:creator/>
  <cp:keywords>information security, ISMS, ISO IEC 27001, NIST CSF</cp:keywords>
  <dc:description/>
  <cp:lastModifiedBy/>
  <cp:revision>2</cp:revision>
  <dcterms:created xsi:type="dcterms:W3CDTF">2026-09-09T17:03:00Z</dcterms:created>
  <dcterms:modified xsi:type="dcterms:W3CDTF">2026-09-09T17:03:00Z</dcterms:modified>
</cp:coreProperties>
</file>