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OWASP Juice Shop Top 10 2025 Mapping</w:t>
      </w:r>
    </w:p>
    <w:p>
      <w:pPr>
        <w:pStyle w:val="Subtitle"/>
        <w:jc w:val="left"/>
      </w:pPr>
      <w:r>
        <w:t>Hands On Application Security Lab Report</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rPr>
          <w:tblHeader w:val="true"/>
        </w:trPr>
        <w:tc>
          <w:tcPr>
            <w:tcW w:type="dxa" w:w="2232"/>
            <w:vAlign w:val="center"/>
            <w:tcMar>
              <w:top w:w="90" w:type="dxa"/>
              <w:left w:w="110" w:type="dxa"/>
              <w:bottom w:w="90" w:type="dxa"/>
              <w:right w:w="110" w:type="dxa"/>
            </w:tcMar>
            <w:shd w:fill="1F4E78"/>
          </w:tcPr>
          <w:p>
            <w:pPr>
              <w:spacing w:after="0"/>
            </w:pPr>
            <w:r>
              <w:rPr>
                <w:rFonts w:ascii="Arial" w:hAnsi="Arial"/>
                <w:b/>
                <w:color w:val="FFFFFF"/>
                <w:sz w:val="19"/>
              </w:rPr>
              <w:t>Report information</w:t>
            </w:r>
          </w:p>
        </w:tc>
        <w:tc>
          <w:tcPr>
            <w:tcW w:type="dxa" w:w="7416"/>
            <w:vAlign w:val="center"/>
            <w:tcMar>
              <w:top w:w="90" w:type="dxa"/>
              <w:left w:w="110" w:type="dxa"/>
              <w:bottom w:w="90" w:type="dxa"/>
              <w:right w:w="110" w:type="dxa"/>
            </w:tcMar>
            <w:shd w:fill="1F4E78"/>
          </w:tcPr>
          <w:p>
            <w:pPr>
              <w:spacing w:after="0"/>
            </w:pPr>
            <w:r>
              <w:rPr>
                <w:rFonts w:ascii="Arial" w:hAnsi="Arial"/>
                <w:b/>
                <w:color w:val="FFFFFF"/>
                <w:sz w:val="19"/>
              </w:rPr>
              <w:t>Details</w:t>
            </w:r>
          </w:p>
        </w:tc>
      </w:tr>
      <w:tr>
        <w:tc>
          <w:tcPr>
            <w:tcW w:type="dxa" w:w="2232"/>
            <w:vAlign w:val="center"/>
            <w:tcMar>
              <w:top w:w="90" w:type="dxa"/>
              <w:left w:w="110" w:type="dxa"/>
              <w:bottom w:w="90" w:type="dxa"/>
              <w:right w:w="110" w:type="dxa"/>
            </w:tcMar>
            <w:shd w:fill="1F4E78"/>
          </w:tcPr>
          <w:p>
            <w:r>
              <w:rPr>
                <w:rFonts w:ascii="Arial" w:hAnsi="Arial"/>
                <w:b/>
                <w:color w:val="FFFFFF"/>
                <w:sz w:val="19"/>
              </w:rPr>
              <w:t>Lab platform</w:t>
            </w:r>
          </w:p>
        </w:tc>
        <w:tc>
          <w:tcPr>
            <w:tcW w:type="dxa" w:w="7416"/>
            <w:vAlign w:val="center"/>
            <w:tcMar>
              <w:top w:w="90" w:type="dxa"/>
              <w:left w:w="110" w:type="dxa"/>
              <w:bottom w:w="90" w:type="dxa"/>
              <w:right w:w="110" w:type="dxa"/>
            </w:tcMar>
            <w:shd w:fill="FFFFFF"/>
          </w:tcPr>
          <w:p>
            <w:r>
              <w:rPr>
                <w:rFonts w:ascii="Arial" w:hAnsi="Arial"/>
                <w:sz w:val="19"/>
              </w:rPr>
              <w:t>OWASP Juice Shop</w:t>
            </w:r>
          </w:p>
        </w:tc>
      </w:tr>
      <w:tr>
        <w:tc>
          <w:tcPr>
            <w:tcW w:type="dxa" w:w="2232"/>
            <w:vAlign w:val="center"/>
            <w:tcMar>
              <w:top w:w="90" w:type="dxa"/>
              <w:left w:w="110" w:type="dxa"/>
              <w:bottom w:w="90" w:type="dxa"/>
              <w:right w:w="110" w:type="dxa"/>
            </w:tcMar>
            <w:shd w:fill="1F4E78"/>
          </w:tcPr>
          <w:p>
            <w:r>
              <w:rPr>
                <w:rFonts w:ascii="Arial" w:hAnsi="Arial"/>
                <w:b/>
                <w:color w:val="FFFFFF"/>
                <w:sz w:val="19"/>
              </w:rPr>
              <w:t>Write-up date</w:t>
            </w:r>
          </w:p>
        </w:tc>
        <w:tc>
          <w:tcPr>
            <w:tcW w:type="dxa" w:w="7416"/>
            <w:vAlign w:val="center"/>
            <w:tcMar>
              <w:top w:w="90" w:type="dxa"/>
              <w:left w:w="110" w:type="dxa"/>
              <w:bottom w:w="90" w:type="dxa"/>
              <w:right w:w="110" w:type="dxa"/>
            </w:tcMar>
            <w:shd w:fill="F3F6F9"/>
          </w:tcPr>
          <w:p>
            <w:pPr>
              <w:spacing w:after="0"/>
            </w:pPr>
            <w:r>
              <w:rPr>
                <w:rFonts w:ascii="Arial" w:hAnsi="Arial"/>
                <w:color w:val="000000"/>
                <w:sz w:val="19"/>
              </w:rPr>
              <w:t>9 September 2026</w:t>
            </w:r>
          </w:p>
        </w:tc>
      </w:tr>
      <w:tr>
        <w:tc>
          <w:tcPr>
            <w:tcW w:type="dxa" w:w="2232"/>
            <w:vAlign w:val="center"/>
            <w:tcMar>
              <w:top w:w="90" w:type="dxa"/>
              <w:left w:w="110" w:type="dxa"/>
              <w:bottom w:w="90" w:type="dxa"/>
              <w:right w:w="110" w:type="dxa"/>
            </w:tcMar>
            <w:shd w:fill="1F4E78"/>
          </w:tcPr>
          <w:p>
            <w:r>
              <w:rPr>
                <w:rFonts w:ascii="Arial" w:hAnsi="Arial"/>
                <w:b/>
                <w:color w:val="FFFFFF"/>
                <w:sz w:val="19"/>
              </w:rPr>
              <w:t>Completion status</w:t>
            </w:r>
          </w:p>
        </w:tc>
        <w:tc>
          <w:tcPr>
            <w:tcW w:type="dxa" w:w="7416"/>
            <w:vAlign w:val="center"/>
            <w:tcMar>
              <w:top w:w="90" w:type="dxa"/>
              <w:left w:w="110" w:type="dxa"/>
              <w:bottom w:w="90" w:type="dxa"/>
              <w:right w:w="110" w:type="dxa"/>
            </w:tcMar>
            <w:shd w:fill="FFFFFF"/>
          </w:tcPr>
          <w:p>
            <w:r>
              <w:rPr>
                <w:rFonts w:ascii="Arial" w:hAnsi="Arial"/>
                <w:sz w:val="19"/>
              </w:rPr>
              <w:t>Completed hands-on lab</w:t>
            </w:r>
          </w:p>
        </w:tc>
      </w:tr>
      <w:tr>
        <w:tc>
          <w:tcPr>
            <w:tcW w:type="dxa" w:w="2232"/>
            <w:vAlign w:val="center"/>
            <w:tcMar>
              <w:top w:w="90" w:type="dxa"/>
              <w:left w:w="110" w:type="dxa"/>
              <w:bottom w:w="90" w:type="dxa"/>
              <w:right w:w="110" w:type="dxa"/>
            </w:tcMar>
            <w:shd w:fill="1F4E78"/>
          </w:tcPr>
          <w:p>
            <w:r>
              <w:rPr>
                <w:rFonts w:ascii="Arial" w:hAnsi="Arial"/>
                <w:b/>
                <w:color w:val="FFFFFF"/>
                <w:sz w:val="19"/>
              </w:rPr>
              <w:t>Mapping method</w:t>
            </w:r>
          </w:p>
        </w:tc>
        <w:tc>
          <w:tcPr>
            <w:tcW w:type="dxa" w:w="7416"/>
            <w:vAlign w:val="center"/>
            <w:tcMar>
              <w:top w:w="90" w:type="dxa"/>
              <w:left w:w="110" w:type="dxa"/>
              <w:bottom w:w="90" w:type="dxa"/>
              <w:right w:w="110" w:type="dxa"/>
            </w:tcMar>
            <w:shd w:fill="F3F6F9"/>
          </w:tcPr>
          <w:p>
            <w:r>
              <w:rPr>
                <w:rFonts w:ascii="Arial" w:hAnsi="Arial"/>
                <w:sz w:val="19"/>
              </w:rPr>
              <w:t>Lab findings mapped to OWASP Top 10 2025 categories</w:t>
            </w:r>
          </w:p>
        </w:tc>
      </w:tr>
    </w:tbl>
    <w:p/>
    <w:p>
      <w:pPr>
        <w:pStyle w:val="Heading1"/>
      </w:pPr>
      <w:r>
        <w:t>Executive Summary</w:t>
      </w:r>
    </w:p>
    <w:p>
      <w:r>
        <w:t>OWASP Juice Shop is an intentionally insecure Node.js, Express, and Angular application built for security training. Its current challenge catalog covers many weaknesses represented in the OWASP Top 10, but its internal category names do not exactly match the 2025 release.</w:t>
      </w:r>
    </w:p>
    <w:p>
      <w:r>
        <w:t>The mapping shows that the clearest Juice Shop examples involve broken access control, injection, weak authentication, unsafe cryptography, configuration mistakes, and vulnerable dependencies. The 2025 categories for software supply chain failures and exceptional conditions broaden or reclassify several older challenge themes. The most important lesson is that security depends on server-side trust boundaries, secure design decisions, controlled dependencies, and observable failure handling rather than on client-side restrictions or hidden implementation details.</w:t>
      </w:r>
    </w:p>
    <w:p>
      <w:pPr>
        <w:pStyle w:val="Heading1"/>
      </w:pPr>
      <w:r>
        <w:t>Lab Scope and Method</w:t>
      </w:r>
    </w:p>
    <w:p>
      <w:r>
        <w:t>This report documents my completed OWASP Juice Shop lab. I explored representative vulnerabilities in the application and mapped each finding to the OWASP Top 10 2025 categories. Because a weakness can affect more than one category, the mapping strength shows how closely each challenge aligns with the category.</w:t>
      </w:r>
    </w:p>
    <w:p>
      <w:pPr>
        <w:pStyle w:val="ReportBullet"/>
        <w:keepLines/>
      </w:pPr>
      <w:r>
        <w:t>•  Direct means the challenge category and behavior closely match the OWASP 2025 risk.</w:t>
      </w:r>
    </w:p>
    <w:p>
      <w:pPr>
        <w:pStyle w:val="ReportBullet"/>
        <w:keepLines/>
      </w:pPr>
      <w:r>
        <w:t>•  Strong means the challenge behavior fits the risk even though Juice Shop labels it differently.</w:t>
      </w:r>
    </w:p>
    <w:p>
      <w:pPr>
        <w:pStyle w:val="ReportBullet"/>
        <w:keepLines/>
      </w:pPr>
      <w:r>
        <w:t>•  Partial means the challenge teaches an adjacent concern but does not demonstrate the full risk category.</w:t>
      </w:r>
    </w:p>
    <w:p>
      <w:pPr>
        <w:pStyle w:val="Heading1"/>
      </w:pPr>
      <w:r>
        <w:t>OWASP Top 10 Mapping</w:t>
      </w:r>
    </w:p>
    <w:p>
      <w:r>
        <w:t>The matrix summarizes one or two representative Juice Shop challenges for each current category.</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2448"/>
        <w:gridCol w:w="2448"/>
        <w:gridCol w:w="2448"/>
      </w:tblGrid>
      <w:tr>
        <w:trPr>
          <w:tblHeader w:val="true"/>
        </w:trPr>
        <w:tc>
          <w:tcPr>
            <w:tcW w:type="dxa" w:w="2232"/>
            <w:vAlign w:val="center"/>
            <w:tcMar>
              <w:top w:w="100" w:type="dxa"/>
              <w:left w:w="95" w:type="dxa"/>
              <w:bottom w:w="100" w:type="dxa"/>
              <w:right w:w="95" w:type="dxa"/>
            </w:tcMar>
            <w:shd w:fill="1F4E78"/>
          </w:tcPr>
          <w:p>
            <w:pPr>
              <w:spacing w:after="0"/>
            </w:pPr>
            <w:r>
              <w:rPr>
                <w:rFonts w:ascii="Arial" w:hAnsi="Arial"/>
                <w:b/>
                <w:color w:val="FFFFFF"/>
                <w:sz w:val="18"/>
              </w:rPr>
              <w:t>OWASP category</w:t>
            </w:r>
          </w:p>
        </w:tc>
        <w:tc>
          <w:tcPr>
            <w:tcW w:type="dxa" w:w="2232"/>
            <w:vAlign w:val="center"/>
            <w:tcMar>
              <w:top w:w="100" w:type="dxa"/>
              <w:left w:w="95" w:type="dxa"/>
              <w:bottom w:w="100" w:type="dxa"/>
              <w:right w:w="95" w:type="dxa"/>
            </w:tcMar>
            <w:shd w:fill="1F4E78"/>
          </w:tcPr>
          <w:p>
            <w:pPr>
              <w:spacing w:after="0"/>
            </w:pPr>
            <w:r>
              <w:rPr>
                <w:rFonts w:ascii="Arial" w:hAnsi="Arial"/>
                <w:b/>
                <w:color w:val="FFFFFF"/>
                <w:sz w:val="18"/>
              </w:rPr>
              <w:t>Juice Shop example</w:t>
            </w:r>
          </w:p>
        </w:tc>
        <w:tc>
          <w:tcPr>
            <w:tcW w:type="dxa" w:w="936"/>
            <w:vAlign w:val="center"/>
            <w:tcMar>
              <w:top w:w="100" w:type="dxa"/>
              <w:left w:w="95" w:type="dxa"/>
              <w:bottom w:w="100" w:type="dxa"/>
              <w:right w:w="95" w:type="dxa"/>
            </w:tcMar>
            <w:shd w:fill="1F4E78"/>
          </w:tcPr>
          <w:p>
            <w:pPr>
              <w:spacing w:after="0"/>
            </w:pPr>
            <w:r>
              <w:rPr>
                <w:rFonts w:ascii="Arial" w:hAnsi="Arial"/>
                <w:b/>
                <w:color w:val="FFFFFF"/>
                <w:sz w:val="18"/>
              </w:rPr>
              <w:t>Fit</w:t>
            </w:r>
          </w:p>
        </w:tc>
        <w:tc>
          <w:tcPr>
            <w:tcW w:type="dxa" w:w="4248"/>
            <w:vAlign w:val="center"/>
            <w:tcMar>
              <w:top w:w="100" w:type="dxa"/>
              <w:left w:w="95" w:type="dxa"/>
              <w:bottom w:w="100" w:type="dxa"/>
              <w:right w:w="95" w:type="dxa"/>
            </w:tcMar>
            <w:shd w:fill="1F4E78"/>
          </w:tcPr>
          <w:p>
            <w:pPr>
              <w:spacing w:after="0"/>
            </w:pPr>
            <w:r>
              <w:rPr>
                <w:rFonts w:ascii="Arial" w:hAnsi="Arial"/>
                <w:b/>
                <w:color w:val="FFFFFF"/>
                <w:sz w:val="18"/>
              </w:rPr>
              <w:t>Primary lesson</w:t>
            </w:r>
          </w:p>
        </w:tc>
      </w:tr>
      <w:tr>
        <w:trPr>
          <w:cantSplit/>
        </w:trPr>
        <w:tc>
          <w:tcPr>
            <w:tcW w:type="dxa" w:w="2232"/>
            <w:vAlign w:val="center"/>
            <w:tcMar>
              <w:top w:w="95" w:type="dxa"/>
              <w:left w:w="95" w:type="dxa"/>
              <w:bottom w:w="95" w:type="dxa"/>
              <w:right w:w="95" w:type="dxa"/>
            </w:tcMar>
            <w:shd w:fill="FFFFFF"/>
          </w:tcPr>
          <w:p>
            <w:pPr>
              <w:spacing w:after="0"/>
              <w:jc w:val="left"/>
            </w:pPr>
            <w:r>
              <w:rPr>
                <w:rFonts w:ascii="Arial" w:hAnsi="Arial"/>
                <w:b/>
                <w:color w:val="000000"/>
                <w:sz w:val="17"/>
              </w:rPr>
              <w:t>A01 Broken Access Control</w:t>
            </w:r>
          </w:p>
        </w:tc>
        <w:tc>
          <w:tcPr>
            <w:tcW w:type="dxa" w:w="2232"/>
            <w:vAlign w:val="center"/>
            <w:tcMar>
              <w:top w:w="95" w:type="dxa"/>
              <w:left w:w="95" w:type="dxa"/>
              <w:bottom w:w="95" w:type="dxa"/>
              <w:right w:w="95" w:type="dxa"/>
            </w:tcMar>
            <w:shd w:fill="FFFFFF"/>
          </w:tcPr>
          <w:p>
            <w:pPr>
              <w:spacing w:after="0"/>
              <w:jc w:val="left"/>
            </w:pPr>
            <w:r>
              <w:rPr>
                <w:rFonts w:ascii="Arial" w:hAnsi="Arial"/>
                <w:b w:val="0"/>
                <w:color w:val="000000"/>
                <w:sz w:val="17"/>
              </w:rPr>
              <w:t>View Basket and Admin Section</w:t>
            </w:r>
          </w:p>
        </w:tc>
        <w:tc>
          <w:tcPr>
            <w:tcW w:type="dxa" w:w="936"/>
            <w:vAlign w:val="center"/>
            <w:tcMar>
              <w:top w:w="95" w:type="dxa"/>
              <w:left w:w="95" w:type="dxa"/>
              <w:bottom w:w="95" w:type="dxa"/>
              <w:right w:w="95" w:type="dxa"/>
            </w:tcMar>
            <w:shd w:fill="FFFFFF"/>
          </w:tcPr>
          <w:p>
            <w:pPr>
              <w:spacing w:after="0"/>
              <w:jc w:val="center"/>
            </w:pPr>
            <w:r>
              <w:rPr>
                <w:rFonts w:ascii="Arial" w:hAnsi="Arial"/>
                <w:b w:val="0"/>
                <w:color w:val="000000"/>
                <w:sz w:val="17"/>
              </w:rPr>
              <w:t>Direct</w:t>
            </w:r>
          </w:p>
        </w:tc>
        <w:tc>
          <w:tcPr>
            <w:tcW w:type="dxa" w:w="4248"/>
            <w:vAlign w:val="center"/>
            <w:tcMar>
              <w:top w:w="95" w:type="dxa"/>
              <w:left w:w="95" w:type="dxa"/>
              <w:bottom w:w="95" w:type="dxa"/>
              <w:right w:w="95" w:type="dxa"/>
            </w:tcMar>
            <w:shd w:fill="FFFFFF"/>
          </w:tcPr>
          <w:p>
            <w:pPr>
              <w:spacing w:after="0"/>
              <w:jc w:val="left"/>
            </w:pPr>
            <w:r>
              <w:rPr>
                <w:rFonts w:ascii="Arial" w:hAnsi="Arial"/>
                <w:b w:val="0"/>
                <w:color w:val="000000"/>
                <w:sz w:val="17"/>
              </w:rPr>
              <w:t>Enforce authorization for every object and function on the server.</w:t>
            </w:r>
          </w:p>
        </w:tc>
      </w:tr>
      <w:tr>
        <w:trPr>
          <w:cantSplit/>
        </w:trPr>
        <w:tc>
          <w:tcPr>
            <w:tcW w:type="dxa" w:w="2232"/>
            <w:vAlign w:val="center"/>
            <w:tcMar>
              <w:top w:w="95" w:type="dxa"/>
              <w:left w:w="95" w:type="dxa"/>
              <w:bottom w:w="95" w:type="dxa"/>
              <w:right w:w="95" w:type="dxa"/>
            </w:tcMar>
            <w:shd w:fill="F3F6F9"/>
          </w:tcPr>
          <w:p>
            <w:pPr>
              <w:spacing w:after="0"/>
              <w:jc w:val="left"/>
            </w:pPr>
            <w:r>
              <w:rPr>
                <w:rFonts w:ascii="Arial" w:hAnsi="Arial"/>
                <w:b/>
                <w:color w:val="000000"/>
                <w:sz w:val="17"/>
              </w:rPr>
              <w:t>A02 Security Misconfiguration</w:t>
            </w:r>
          </w:p>
        </w:tc>
        <w:tc>
          <w:tcPr>
            <w:tcW w:type="dxa" w:w="2232"/>
            <w:vAlign w:val="center"/>
            <w:tcMar>
              <w:top w:w="95" w:type="dxa"/>
              <w:left w:w="95" w:type="dxa"/>
              <w:bottom w:w="95" w:type="dxa"/>
              <w:right w:w="95" w:type="dxa"/>
            </w:tcMar>
            <w:shd w:fill="F3F6F9"/>
          </w:tcPr>
          <w:p>
            <w:pPr>
              <w:spacing w:after="0"/>
              <w:jc w:val="left"/>
            </w:pPr>
            <w:r>
              <w:rPr>
                <w:rFonts w:ascii="Arial" w:hAnsi="Arial"/>
                <w:b w:val="0"/>
                <w:color w:val="000000"/>
                <w:sz w:val="17"/>
              </w:rPr>
              <w:t>Deprecated Interface and Misplaced IaC Files</w:t>
            </w:r>
          </w:p>
        </w:tc>
        <w:tc>
          <w:tcPr>
            <w:tcW w:type="dxa" w:w="936"/>
            <w:vAlign w:val="center"/>
            <w:tcMar>
              <w:top w:w="95" w:type="dxa"/>
              <w:left w:w="95" w:type="dxa"/>
              <w:bottom w:w="95" w:type="dxa"/>
              <w:right w:w="95" w:type="dxa"/>
            </w:tcMar>
            <w:shd w:fill="F3F6F9"/>
          </w:tcPr>
          <w:p>
            <w:pPr>
              <w:spacing w:after="0"/>
              <w:jc w:val="center"/>
            </w:pPr>
            <w:r>
              <w:rPr>
                <w:rFonts w:ascii="Arial" w:hAnsi="Arial"/>
                <w:b w:val="0"/>
                <w:color w:val="000000"/>
                <w:sz w:val="17"/>
              </w:rPr>
              <w:t>Direct</w:t>
            </w:r>
          </w:p>
        </w:tc>
        <w:tc>
          <w:tcPr>
            <w:tcW w:type="dxa" w:w="4248"/>
            <w:vAlign w:val="center"/>
            <w:tcMar>
              <w:top w:w="95" w:type="dxa"/>
              <w:left w:w="95" w:type="dxa"/>
              <w:bottom w:w="95" w:type="dxa"/>
              <w:right w:w="95" w:type="dxa"/>
            </w:tcMar>
            <w:shd w:fill="F3F6F9"/>
          </w:tcPr>
          <w:p>
            <w:pPr>
              <w:spacing w:after="0"/>
              <w:jc w:val="left"/>
            </w:pPr>
            <w:r>
              <w:rPr>
                <w:rFonts w:ascii="Arial" w:hAnsi="Arial"/>
                <w:b w:val="0"/>
                <w:color w:val="000000"/>
                <w:sz w:val="17"/>
              </w:rPr>
              <w:t>Remove unused features and sensitive files from deployable artifacts.</w:t>
            </w:r>
          </w:p>
        </w:tc>
      </w:tr>
      <w:tr>
        <w:trPr>
          <w:cantSplit/>
        </w:trPr>
        <w:tc>
          <w:tcPr>
            <w:tcW w:type="dxa" w:w="2232"/>
            <w:vAlign w:val="center"/>
            <w:tcMar>
              <w:top w:w="95" w:type="dxa"/>
              <w:left w:w="95" w:type="dxa"/>
              <w:bottom w:w="95" w:type="dxa"/>
              <w:right w:w="95" w:type="dxa"/>
            </w:tcMar>
            <w:shd w:fill="FFFFFF"/>
          </w:tcPr>
          <w:p>
            <w:pPr>
              <w:spacing w:after="0"/>
              <w:jc w:val="left"/>
            </w:pPr>
            <w:r>
              <w:rPr>
                <w:rFonts w:ascii="Arial" w:hAnsi="Arial"/>
                <w:b/>
                <w:color w:val="000000"/>
                <w:sz w:val="17"/>
              </w:rPr>
              <w:t>A03 Software Supply Chain Failures</w:t>
            </w:r>
          </w:p>
        </w:tc>
        <w:tc>
          <w:tcPr>
            <w:tcW w:type="dxa" w:w="2232"/>
            <w:vAlign w:val="center"/>
            <w:tcMar>
              <w:top w:w="95" w:type="dxa"/>
              <w:left w:w="95" w:type="dxa"/>
              <w:bottom w:w="95" w:type="dxa"/>
              <w:right w:w="95" w:type="dxa"/>
            </w:tcMar>
            <w:shd w:fill="FFFFFF"/>
          </w:tcPr>
          <w:p>
            <w:pPr>
              <w:spacing w:after="0"/>
              <w:jc w:val="left"/>
            </w:pPr>
            <w:r>
              <w:rPr>
                <w:rFonts w:ascii="Arial" w:hAnsi="Arial"/>
                <w:b w:val="0"/>
                <w:color w:val="000000"/>
                <w:sz w:val="17"/>
              </w:rPr>
              <w:t>Supply Chain Attack and Vulnerable Library</w:t>
            </w:r>
          </w:p>
        </w:tc>
        <w:tc>
          <w:tcPr>
            <w:tcW w:type="dxa" w:w="936"/>
            <w:vAlign w:val="center"/>
            <w:tcMar>
              <w:top w:w="95" w:type="dxa"/>
              <w:left w:w="95" w:type="dxa"/>
              <w:bottom w:w="95" w:type="dxa"/>
              <w:right w:w="95" w:type="dxa"/>
            </w:tcMar>
            <w:shd w:fill="FFFFFF"/>
          </w:tcPr>
          <w:p>
            <w:pPr>
              <w:spacing w:after="0"/>
              <w:jc w:val="center"/>
            </w:pPr>
            <w:r>
              <w:rPr>
                <w:rFonts w:ascii="Arial" w:hAnsi="Arial"/>
                <w:b w:val="0"/>
                <w:color w:val="000000"/>
                <w:sz w:val="17"/>
              </w:rPr>
              <w:t>Direct</w:t>
            </w:r>
          </w:p>
        </w:tc>
        <w:tc>
          <w:tcPr>
            <w:tcW w:type="dxa" w:w="4248"/>
            <w:vAlign w:val="center"/>
            <w:tcMar>
              <w:top w:w="95" w:type="dxa"/>
              <w:left w:w="95" w:type="dxa"/>
              <w:bottom w:w="95" w:type="dxa"/>
              <w:right w:w="95" w:type="dxa"/>
            </w:tcMar>
            <w:shd w:fill="FFFFFF"/>
          </w:tcPr>
          <w:p>
            <w:pPr>
              <w:spacing w:after="0"/>
              <w:jc w:val="left"/>
            </w:pPr>
            <w:r>
              <w:rPr>
                <w:rFonts w:ascii="Arial" w:hAnsi="Arial"/>
                <w:b w:val="0"/>
                <w:color w:val="000000"/>
                <w:sz w:val="17"/>
              </w:rPr>
              <w:t>Treat dependencies, identities, builds, and registries as one supply chain.</w:t>
            </w:r>
          </w:p>
        </w:tc>
      </w:tr>
      <w:tr>
        <w:trPr>
          <w:cantSplit/>
        </w:trPr>
        <w:tc>
          <w:tcPr>
            <w:tcW w:type="dxa" w:w="2232"/>
            <w:vAlign w:val="center"/>
            <w:tcMar>
              <w:top w:w="95" w:type="dxa"/>
              <w:left w:w="95" w:type="dxa"/>
              <w:bottom w:w="95" w:type="dxa"/>
              <w:right w:w="95" w:type="dxa"/>
            </w:tcMar>
            <w:shd w:fill="F3F6F9"/>
          </w:tcPr>
          <w:p>
            <w:pPr>
              <w:spacing w:after="0"/>
              <w:jc w:val="left"/>
            </w:pPr>
            <w:r>
              <w:rPr>
                <w:rFonts w:ascii="Arial" w:hAnsi="Arial"/>
                <w:b/>
                <w:color w:val="000000"/>
                <w:sz w:val="17"/>
              </w:rPr>
              <w:t>A04 Cryptographic Failures</w:t>
            </w:r>
          </w:p>
        </w:tc>
        <w:tc>
          <w:tcPr>
            <w:tcW w:type="dxa" w:w="2232"/>
            <w:vAlign w:val="center"/>
            <w:tcMar>
              <w:top w:w="95" w:type="dxa"/>
              <w:left w:w="95" w:type="dxa"/>
              <w:bottom w:w="95" w:type="dxa"/>
              <w:right w:w="95" w:type="dxa"/>
            </w:tcMar>
            <w:shd w:fill="F3F6F9"/>
          </w:tcPr>
          <w:p>
            <w:pPr>
              <w:spacing w:after="0"/>
              <w:jc w:val="left"/>
            </w:pPr>
            <w:r>
              <w:rPr>
                <w:rFonts w:ascii="Arial" w:hAnsi="Arial"/>
                <w:b w:val="0"/>
                <w:color w:val="000000"/>
                <w:sz w:val="17"/>
              </w:rPr>
              <w:t>Forged Coupon and Weird Crypto</w:t>
            </w:r>
          </w:p>
        </w:tc>
        <w:tc>
          <w:tcPr>
            <w:tcW w:type="dxa" w:w="936"/>
            <w:vAlign w:val="center"/>
            <w:tcMar>
              <w:top w:w="95" w:type="dxa"/>
              <w:left w:w="95" w:type="dxa"/>
              <w:bottom w:w="95" w:type="dxa"/>
              <w:right w:w="95" w:type="dxa"/>
            </w:tcMar>
            <w:shd w:fill="F3F6F9"/>
          </w:tcPr>
          <w:p>
            <w:pPr>
              <w:spacing w:after="0"/>
              <w:jc w:val="center"/>
            </w:pPr>
            <w:r>
              <w:rPr>
                <w:rFonts w:ascii="Arial" w:hAnsi="Arial"/>
                <w:b w:val="0"/>
                <w:color w:val="000000"/>
                <w:sz w:val="17"/>
              </w:rPr>
              <w:t>Direct</w:t>
            </w:r>
          </w:p>
        </w:tc>
        <w:tc>
          <w:tcPr>
            <w:tcW w:type="dxa" w:w="4248"/>
            <w:vAlign w:val="center"/>
            <w:tcMar>
              <w:top w:w="95" w:type="dxa"/>
              <w:left w:w="95" w:type="dxa"/>
              <w:bottom w:w="95" w:type="dxa"/>
              <w:right w:w="95" w:type="dxa"/>
            </w:tcMar>
            <w:shd w:fill="F3F6F9"/>
          </w:tcPr>
          <w:p>
            <w:pPr>
              <w:spacing w:after="0"/>
              <w:jc w:val="left"/>
            </w:pPr>
            <w:r>
              <w:rPr>
                <w:rFonts w:ascii="Arial" w:hAnsi="Arial"/>
                <w:b w:val="0"/>
                <w:color w:val="000000"/>
                <w:sz w:val="17"/>
              </w:rPr>
              <w:t>Use approved cryptography with unpredictable values and managed keys.</w:t>
            </w:r>
          </w:p>
        </w:tc>
      </w:tr>
      <w:tr>
        <w:trPr>
          <w:cantSplit/>
        </w:trPr>
        <w:tc>
          <w:tcPr>
            <w:tcW w:type="dxa" w:w="2232"/>
            <w:vAlign w:val="center"/>
            <w:tcMar>
              <w:top w:w="95" w:type="dxa"/>
              <w:left w:w="95" w:type="dxa"/>
              <w:bottom w:w="95" w:type="dxa"/>
              <w:right w:w="95" w:type="dxa"/>
            </w:tcMar>
            <w:shd w:fill="FFFFFF"/>
          </w:tcPr>
          <w:p>
            <w:pPr>
              <w:spacing w:after="0"/>
              <w:jc w:val="left"/>
            </w:pPr>
            <w:r>
              <w:rPr>
                <w:rFonts w:ascii="Arial" w:hAnsi="Arial"/>
                <w:b/>
                <w:color w:val="000000"/>
                <w:sz w:val="17"/>
              </w:rPr>
              <w:t>A05 Injection</w:t>
            </w:r>
          </w:p>
        </w:tc>
        <w:tc>
          <w:tcPr>
            <w:tcW w:type="dxa" w:w="2232"/>
            <w:vAlign w:val="center"/>
            <w:tcMar>
              <w:top w:w="95" w:type="dxa"/>
              <w:left w:w="95" w:type="dxa"/>
              <w:bottom w:w="95" w:type="dxa"/>
              <w:right w:w="95" w:type="dxa"/>
            </w:tcMar>
            <w:shd w:fill="FFFFFF"/>
          </w:tcPr>
          <w:p>
            <w:pPr>
              <w:spacing w:after="0"/>
              <w:jc w:val="left"/>
            </w:pPr>
            <w:r>
              <w:rPr>
                <w:rFonts w:ascii="Arial" w:hAnsi="Arial"/>
                <w:b w:val="0"/>
                <w:color w:val="000000"/>
                <w:sz w:val="17"/>
              </w:rPr>
              <w:t>Database Schema and DOM XSS</w:t>
            </w:r>
          </w:p>
        </w:tc>
        <w:tc>
          <w:tcPr>
            <w:tcW w:type="dxa" w:w="936"/>
            <w:vAlign w:val="center"/>
            <w:tcMar>
              <w:top w:w="95" w:type="dxa"/>
              <w:left w:w="95" w:type="dxa"/>
              <w:bottom w:w="95" w:type="dxa"/>
              <w:right w:w="95" w:type="dxa"/>
            </w:tcMar>
            <w:shd w:fill="FFFFFF"/>
          </w:tcPr>
          <w:p>
            <w:pPr>
              <w:spacing w:after="0"/>
              <w:jc w:val="center"/>
            </w:pPr>
            <w:r>
              <w:rPr>
                <w:rFonts w:ascii="Arial" w:hAnsi="Arial"/>
                <w:b w:val="0"/>
                <w:color w:val="000000"/>
                <w:sz w:val="17"/>
              </w:rPr>
              <w:t>Direct</w:t>
            </w:r>
          </w:p>
        </w:tc>
        <w:tc>
          <w:tcPr>
            <w:tcW w:type="dxa" w:w="4248"/>
            <w:vAlign w:val="center"/>
            <w:tcMar>
              <w:top w:w="95" w:type="dxa"/>
              <w:left w:w="95" w:type="dxa"/>
              <w:bottom w:w="95" w:type="dxa"/>
              <w:right w:w="95" w:type="dxa"/>
            </w:tcMar>
            <w:shd w:fill="FFFFFF"/>
          </w:tcPr>
          <w:p>
            <w:pPr>
              <w:spacing w:after="0"/>
              <w:jc w:val="left"/>
            </w:pPr>
            <w:r>
              <w:rPr>
                <w:rFonts w:ascii="Arial" w:hAnsi="Arial"/>
                <w:b w:val="0"/>
                <w:color w:val="000000"/>
                <w:sz w:val="17"/>
              </w:rPr>
              <w:t>Keep untrusted data separate from queries, commands, and executable markup.</w:t>
            </w:r>
          </w:p>
        </w:tc>
      </w:tr>
      <w:tr>
        <w:trPr>
          <w:cantSplit/>
        </w:trPr>
        <w:tc>
          <w:tcPr>
            <w:tcW w:type="dxa" w:w="2232"/>
            <w:vAlign w:val="center"/>
            <w:tcMar>
              <w:top w:w="95" w:type="dxa"/>
              <w:left w:w="95" w:type="dxa"/>
              <w:bottom w:w="95" w:type="dxa"/>
              <w:right w:w="95" w:type="dxa"/>
            </w:tcMar>
            <w:shd w:fill="F3F6F9"/>
          </w:tcPr>
          <w:p>
            <w:pPr>
              <w:spacing w:after="0"/>
              <w:jc w:val="left"/>
            </w:pPr>
            <w:r>
              <w:rPr>
                <w:rFonts w:ascii="Arial" w:hAnsi="Arial"/>
                <w:b/>
                <w:color w:val="000000"/>
                <w:sz w:val="17"/>
              </w:rPr>
              <w:t>A06 Insecure Design</w:t>
            </w:r>
          </w:p>
        </w:tc>
        <w:tc>
          <w:tcPr>
            <w:tcW w:type="dxa" w:w="2232"/>
            <w:vAlign w:val="center"/>
            <w:tcMar>
              <w:top w:w="95" w:type="dxa"/>
              <w:left w:w="95" w:type="dxa"/>
              <w:bottom w:w="95" w:type="dxa"/>
              <w:right w:w="95" w:type="dxa"/>
            </w:tcMar>
            <w:shd w:fill="F3F6F9"/>
          </w:tcPr>
          <w:p>
            <w:pPr>
              <w:spacing w:after="0"/>
              <w:jc w:val="left"/>
            </w:pPr>
            <w:r>
              <w:rPr>
                <w:rFonts w:ascii="Arial" w:hAnsi="Arial"/>
                <w:b w:val="0"/>
                <w:color w:val="000000"/>
                <w:sz w:val="17"/>
              </w:rPr>
              <w:t>Payback Time and CAPTCHA Bypass</w:t>
            </w:r>
          </w:p>
        </w:tc>
        <w:tc>
          <w:tcPr>
            <w:tcW w:type="dxa" w:w="936"/>
            <w:vAlign w:val="center"/>
            <w:tcMar>
              <w:top w:w="95" w:type="dxa"/>
              <w:left w:w="95" w:type="dxa"/>
              <w:bottom w:w="95" w:type="dxa"/>
              <w:right w:w="95" w:type="dxa"/>
            </w:tcMar>
            <w:shd w:fill="F3F6F9"/>
          </w:tcPr>
          <w:p>
            <w:pPr>
              <w:spacing w:after="0"/>
              <w:jc w:val="center"/>
            </w:pPr>
            <w:r>
              <w:rPr>
                <w:rFonts w:ascii="Arial" w:hAnsi="Arial"/>
                <w:b w:val="0"/>
                <w:color w:val="000000"/>
                <w:sz w:val="17"/>
              </w:rPr>
              <w:t>Strong</w:t>
            </w:r>
          </w:p>
        </w:tc>
        <w:tc>
          <w:tcPr>
            <w:tcW w:type="dxa" w:w="4248"/>
            <w:vAlign w:val="center"/>
            <w:tcMar>
              <w:top w:w="95" w:type="dxa"/>
              <w:left w:w="95" w:type="dxa"/>
              <w:bottom w:w="95" w:type="dxa"/>
              <w:right w:w="95" w:type="dxa"/>
            </w:tcMar>
            <w:shd w:fill="F3F6F9"/>
          </w:tcPr>
          <w:p>
            <w:pPr>
              <w:spacing w:after="0"/>
              <w:jc w:val="left"/>
            </w:pPr>
            <w:r>
              <w:rPr>
                <w:rFonts w:ascii="Arial" w:hAnsi="Arial"/>
                <w:b w:val="0"/>
                <w:color w:val="000000"/>
                <w:sz w:val="17"/>
              </w:rPr>
              <w:t>Design and test business invariants and abuse cases before release.</w:t>
            </w:r>
          </w:p>
        </w:tc>
      </w:tr>
      <w:tr>
        <w:trPr>
          <w:cantSplit/>
        </w:trPr>
        <w:tc>
          <w:tcPr>
            <w:tcW w:type="dxa" w:w="2232"/>
            <w:vAlign w:val="center"/>
            <w:tcMar>
              <w:top w:w="95" w:type="dxa"/>
              <w:left w:w="95" w:type="dxa"/>
              <w:bottom w:w="95" w:type="dxa"/>
              <w:right w:w="95" w:type="dxa"/>
            </w:tcMar>
            <w:shd w:fill="FFFFFF"/>
          </w:tcPr>
          <w:p>
            <w:pPr>
              <w:spacing w:after="0"/>
              <w:jc w:val="left"/>
            </w:pPr>
            <w:r>
              <w:rPr>
                <w:rFonts w:ascii="Arial" w:hAnsi="Arial"/>
                <w:b/>
                <w:color w:val="000000"/>
                <w:sz w:val="17"/>
              </w:rPr>
              <w:t>A07 Authentication Failures</w:t>
            </w:r>
          </w:p>
        </w:tc>
        <w:tc>
          <w:tcPr>
            <w:tcW w:type="dxa" w:w="2232"/>
            <w:vAlign w:val="center"/>
            <w:tcMar>
              <w:top w:w="95" w:type="dxa"/>
              <w:left w:w="95" w:type="dxa"/>
              <w:bottom w:w="95" w:type="dxa"/>
              <w:right w:w="95" w:type="dxa"/>
            </w:tcMar>
            <w:shd w:fill="FFFFFF"/>
          </w:tcPr>
          <w:p>
            <w:pPr>
              <w:spacing w:after="0"/>
              <w:jc w:val="left"/>
            </w:pPr>
            <w:r>
              <w:rPr>
                <w:rFonts w:ascii="Arial" w:hAnsi="Arial"/>
                <w:b w:val="0"/>
                <w:color w:val="000000"/>
                <w:sz w:val="17"/>
              </w:rPr>
              <w:t>Password Strength and Two Factor Authentication</w:t>
            </w:r>
          </w:p>
        </w:tc>
        <w:tc>
          <w:tcPr>
            <w:tcW w:type="dxa" w:w="936"/>
            <w:vAlign w:val="center"/>
            <w:tcMar>
              <w:top w:w="95" w:type="dxa"/>
              <w:left w:w="95" w:type="dxa"/>
              <w:bottom w:w="95" w:type="dxa"/>
              <w:right w:w="95" w:type="dxa"/>
            </w:tcMar>
            <w:shd w:fill="FFFFFF"/>
          </w:tcPr>
          <w:p>
            <w:pPr>
              <w:spacing w:after="0"/>
              <w:jc w:val="center"/>
            </w:pPr>
            <w:r>
              <w:rPr>
                <w:rFonts w:ascii="Arial" w:hAnsi="Arial"/>
                <w:b w:val="0"/>
                <w:color w:val="000000"/>
                <w:sz w:val="17"/>
              </w:rPr>
              <w:t>Direct</w:t>
            </w:r>
          </w:p>
        </w:tc>
        <w:tc>
          <w:tcPr>
            <w:tcW w:type="dxa" w:w="4248"/>
            <w:vAlign w:val="center"/>
            <w:tcMar>
              <w:top w:w="95" w:type="dxa"/>
              <w:left w:w="95" w:type="dxa"/>
              <w:bottom w:w="95" w:type="dxa"/>
              <w:right w:w="95" w:type="dxa"/>
            </w:tcMar>
            <w:shd w:fill="FFFFFF"/>
          </w:tcPr>
          <w:p>
            <w:pPr>
              <w:spacing w:after="0"/>
              <w:jc w:val="left"/>
            </w:pPr>
            <w:r>
              <w:rPr>
                <w:rFonts w:ascii="Arial" w:hAnsi="Arial"/>
                <w:b w:val="0"/>
                <w:color w:val="000000"/>
                <w:sz w:val="17"/>
              </w:rPr>
              <w:t>Protect the complete credential, MFA, recovery, and session lifecycle.</w:t>
            </w:r>
          </w:p>
        </w:tc>
      </w:tr>
      <w:tr>
        <w:trPr>
          <w:cantSplit/>
        </w:trPr>
        <w:tc>
          <w:tcPr>
            <w:tcW w:type="dxa" w:w="2232"/>
            <w:vAlign w:val="center"/>
            <w:tcMar>
              <w:top w:w="95" w:type="dxa"/>
              <w:left w:w="95" w:type="dxa"/>
              <w:bottom w:w="95" w:type="dxa"/>
              <w:right w:w="95" w:type="dxa"/>
            </w:tcMar>
            <w:shd w:fill="F3F6F9"/>
          </w:tcPr>
          <w:p>
            <w:pPr>
              <w:spacing w:after="0"/>
              <w:jc w:val="left"/>
            </w:pPr>
            <w:r>
              <w:rPr>
                <w:rFonts w:ascii="Arial" w:hAnsi="Arial"/>
                <w:b/>
                <w:color w:val="000000"/>
                <w:sz w:val="17"/>
              </w:rPr>
              <w:t>A08 Software or Data Integrity Failures</w:t>
            </w:r>
          </w:p>
        </w:tc>
        <w:tc>
          <w:tcPr>
            <w:tcW w:type="dxa" w:w="2232"/>
            <w:vAlign w:val="center"/>
            <w:tcMar>
              <w:top w:w="95" w:type="dxa"/>
              <w:left w:w="95" w:type="dxa"/>
              <w:bottom w:w="95" w:type="dxa"/>
              <w:right w:w="95" w:type="dxa"/>
            </w:tcMar>
            <w:shd w:fill="F3F6F9"/>
          </w:tcPr>
          <w:p>
            <w:pPr>
              <w:spacing w:after="0"/>
              <w:jc w:val="left"/>
            </w:pPr>
            <w:r>
              <w:rPr>
                <w:rFonts w:ascii="Arial" w:hAnsi="Arial"/>
                <w:b w:val="0"/>
                <w:color w:val="000000"/>
                <w:sz w:val="17"/>
              </w:rPr>
              <w:t>Unsigned JWT and Blocked RCE DoS</w:t>
            </w:r>
          </w:p>
        </w:tc>
        <w:tc>
          <w:tcPr>
            <w:tcW w:type="dxa" w:w="936"/>
            <w:vAlign w:val="center"/>
            <w:tcMar>
              <w:top w:w="95" w:type="dxa"/>
              <w:left w:w="95" w:type="dxa"/>
              <w:bottom w:w="95" w:type="dxa"/>
              <w:right w:w="95" w:type="dxa"/>
            </w:tcMar>
            <w:shd w:fill="F3F6F9"/>
          </w:tcPr>
          <w:p>
            <w:pPr>
              <w:spacing w:after="0"/>
              <w:jc w:val="center"/>
            </w:pPr>
            <w:r>
              <w:rPr>
                <w:rFonts w:ascii="Arial" w:hAnsi="Arial"/>
                <w:b w:val="0"/>
                <w:color w:val="000000"/>
                <w:sz w:val="17"/>
              </w:rPr>
              <w:t>Strong</w:t>
            </w:r>
          </w:p>
        </w:tc>
        <w:tc>
          <w:tcPr>
            <w:tcW w:type="dxa" w:w="4248"/>
            <w:vAlign w:val="center"/>
            <w:tcMar>
              <w:top w:w="95" w:type="dxa"/>
              <w:left w:w="95" w:type="dxa"/>
              <w:bottom w:w="95" w:type="dxa"/>
              <w:right w:w="95" w:type="dxa"/>
            </w:tcMar>
            <w:shd w:fill="F3F6F9"/>
          </w:tcPr>
          <w:p>
            <w:pPr>
              <w:spacing w:after="0"/>
              <w:jc w:val="left"/>
            </w:pPr>
            <w:r>
              <w:rPr>
                <w:rFonts w:ascii="Arial" w:hAnsi="Arial"/>
                <w:b w:val="0"/>
                <w:color w:val="000000"/>
                <w:sz w:val="17"/>
              </w:rPr>
              <w:t>Verify signatures, provenance, claims, and serialized data before trust.</w:t>
            </w:r>
          </w:p>
        </w:tc>
      </w:tr>
      <w:tr>
        <w:trPr>
          <w:cantSplit/>
        </w:trPr>
        <w:tc>
          <w:tcPr>
            <w:tcW w:type="dxa" w:w="2232"/>
            <w:vAlign w:val="center"/>
            <w:tcMar>
              <w:top w:w="95" w:type="dxa"/>
              <w:left w:w="95" w:type="dxa"/>
              <w:bottom w:w="95" w:type="dxa"/>
              <w:right w:w="95" w:type="dxa"/>
            </w:tcMar>
            <w:shd w:fill="FFFFFF"/>
          </w:tcPr>
          <w:p>
            <w:pPr>
              <w:spacing w:after="0"/>
              <w:jc w:val="left"/>
            </w:pPr>
            <w:r>
              <w:rPr>
                <w:rFonts w:ascii="Arial" w:hAnsi="Arial"/>
                <w:b/>
                <w:color w:val="000000"/>
                <w:sz w:val="17"/>
              </w:rPr>
              <w:t>A09 Security Logging and Alerting Failures</w:t>
            </w:r>
          </w:p>
        </w:tc>
        <w:tc>
          <w:tcPr>
            <w:tcW w:type="dxa" w:w="2232"/>
            <w:vAlign w:val="center"/>
            <w:tcMar>
              <w:top w:w="95" w:type="dxa"/>
              <w:left w:w="95" w:type="dxa"/>
              <w:bottom w:w="95" w:type="dxa"/>
              <w:right w:w="95" w:type="dxa"/>
            </w:tcMar>
            <w:shd w:fill="FFFFFF"/>
          </w:tcPr>
          <w:p>
            <w:pPr>
              <w:spacing w:after="0"/>
              <w:jc w:val="left"/>
            </w:pPr>
            <w:r>
              <w:rPr>
                <w:rFonts w:ascii="Arial" w:hAnsi="Arial"/>
                <w:b w:val="0"/>
                <w:color w:val="000000"/>
                <w:sz w:val="17"/>
              </w:rPr>
              <w:t>Access Log and Exposed Metrics</w:t>
            </w:r>
          </w:p>
        </w:tc>
        <w:tc>
          <w:tcPr>
            <w:tcW w:type="dxa" w:w="936"/>
            <w:vAlign w:val="center"/>
            <w:tcMar>
              <w:top w:w="95" w:type="dxa"/>
              <w:left w:w="95" w:type="dxa"/>
              <w:bottom w:w="95" w:type="dxa"/>
              <w:right w:w="95" w:type="dxa"/>
            </w:tcMar>
            <w:shd w:fill="FFFFFF"/>
          </w:tcPr>
          <w:p>
            <w:pPr>
              <w:spacing w:after="0"/>
              <w:jc w:val="center"/>
            </w:pPr>
            <w:r>
              <w:rPr>
                <w:rFonts w:ascii="Arial" w:hAnsi="Arial"/>
                <w:b w:val="0"/>
                <w:color w:val="000000"/>
                <w:sz w:val="17"/>
              </w:rPr>
              <w:t>Partial</w:t>
            </w:r>
          </w:p>
        </w:tc>
        <w:tc>
          <w:tcPr>
            <w:tcW w:type="dxa" w:w="4248"/>
            <w:vAlign w:val="center"/>
            <w:tcMar>
              <w:top w:w="95" w:type="dxa"/>
              <w:left w:w="95" w:type="dxa"/>
              <w:bottom w:w="95" w:type="dxa"/>
              <w:right w:w="95" w:type="dxa"/>
            </w:tcMar>
            <w:shd w:fill="FFFFFF"/>
          </w:tcPr>
          <w:p>
            <w:pPr>
              <w:spacing w:after="0"/>
              <w:jc w:val="left"/>
            </w:pPr>
            <w:r>
              <w:rPr>
                <w:rFonts w:ascii="Arial" w:hAnsi="Arial"/>
                <w:b w:val="0"/>
                <w:color w:val="000000"/>
                <w:sz w:val="17"/>
              </w:rPr>
              <w:t>Protect telemetry and connect meaningful events to actionable alerts.</w:t>
            </w:r>
          </w:p>
        </w:tc>
      </w:tr>
      <w:tr>
        <w:trPr>
          <w:cantSplit/>
        </w:trPr>
        <w:tc>
          <w:tcPr>
            <w:tcW w:type="dxa" w:w="2232"/>
            <w:vAlign w:val="center"/>
            <w:tcMar>
              <w:top w:w="95" w:type="dxa"/>
              <w:left w:w="95" w:type="dxa"/>
              <w:bottom w:w="95" w:type="dxa"/>
              <w:right w:w="95" w:type="dxa"/>
            </w:tcMar>
            <w:shd w:fill="F3F6F9"/>
          </w:tcPr>
          <w:p>
            <w:pPr>
              <w:spacing w:after="0"/>
              <w:jc w:val="left"/>
            </w:pPr>
            <w:r>
              <w:rPr>
                <w:rFonts w:ascii="Arial" w:hAnsi="Arial"/>
                <w:b/>
                <w:color w:val="000000"/>
                <w:sz w:val="17"/>
              </w:rPr>
              <w:t>A10 Mishandling of Exceptional Conditions</w:t>
            </w:r>
          </w:p>
        </w:tc>
        <w:tc>
          <w:tcPr>
            <w:tcW w:type="dxa" w:w="2232"/>
            <w:vAlign w:val="center"/>
            <w:tcMar>
              <w:top w:w="95" w:type="dxa"/>
              <w:left w:w="95" w:type="dxa"/>
              <w:bottom w:w="95" w:type="dxa"/>
              <w:right w:w="95" w:type="dxa"/>
            </w:tcMar>
            <w:shd w:fill="F3F6F9"/>
          </w:tcPr>
          <w:p>
            <w:pPr>
              <w:spacing w:after="0"/>
              <w:jc w:val="left"/>
            </w:pPr>
            <w:r>
              <w:rPr>
                <w:rFonts w:ascii="Arial" w:hAnsi="Arial"/>
                <w:b w:val="0"/>
                <w:color w:val="000000"/>
                <w:sz w:val="17"/>
              </w:rPr>
              <w:t>Error Handling</w:t>
            </w:r>
          </w:p>
        </w:tc>
        <w:tc>
          <w:tcPr>
            <w:tcW w:type="dxa" w:w="936"/>
            <w:vAlign w:val="center"/>
            <w:tcMar>
              <w:top w:w="95" w:type="dxa"/>
              <w:left w:w="95" w:type="dxa"/>
              <w:bottom w:w="95" w:type="dxa"/>
              <w:right w:w="95" w:type="dxa"/>
            </w:tcMar>
            <w:shd w:fill="F3F6F9"/>
          </w:tcPr>
          <w:p>
            <w:pPr>
              <w:spacing w:after="0"/>
              <w:jc w:val="center"/>
            </w:pPr>
            <w:r>
              <w:rPr>
                <w:rFonts w:ascii="Arial" w:hAnsi="Arial"/>
                <w:b w:val="0"/>
                <w:color w:val="000000"/>
                <w:sz w:val="17"/>
              </w:rPr>
              <w:t>Strong</w:t>
            </w:r>
          </w:p>
        </w:tc>
        <w:tc>
          <w:tcPr>
            <w:tcW w:type="dxa" w:w="4248"/>
            <w:vAlign w:val="center"/>
            <w:tcMar>
              <w:top w:w="95" w:type="dxa"/>
              <w:left w:w="95" w:type="dxa"/>
              <w:bottom w:w="95" w:type="dxa"/>
              <w:right w:w="95" w:type="dxa"/>
            </w:tcMar>
            <w:shd w:fill="F3F6F9"/>
          </w:tcPr>
          <w:p>
            <w:pPr>
              <w:spacing w:after="0"/>
              <w:jc w:val="left"/>
            </w:pPr>
            <w:r>
              <w:rPr>
                <w:rFonts w:ascii="Arial" w:hAnsi="Arial"/>
                <w:b w:val="0"/>
                <w:color w:val="000000"/>
                <w:sz w:val="17"/>
              </w:rPr>
              <w:t>Handle abnormal states consistently and fail securely.</w:t>
            </w:r>
          </w:p>
        </w:tc>
      </w:tr>
    </w:tbl>
    <w:p>
      <w:r/>
    </w:p>
    <w:p>
      <w:pPr>
        <w:pStyle w:val="Heading1"/>
      </w:pPr>
      <w:r>
        <w:t>Detailed Findings</w:t>
      </w:r>
    </w:p>
    <w:p>
      <w:pPr>
        <w:pStyle w:val="Heading2"/>
        <w:keepNext/>
      </w:pPr>
      <w:r>
        <w:t>A01 Broken Access Control</w:t>
      </w:r>
    </w:p>
    <w:p>
      <w:pPr>
        <w:keepLines/>
      </w:pPr>
      <w:r>
        <w:rPr>
          <w:b/>
        </w:rPr>
        <w:t xml:space="preserve">Risk </w:t>
      </w:r>
      <w:r>
        <w:t>Authorization fails when a user can reach another user's records or privileged functions by changing a route, identifier, request, or client-side state.</w:t>
      </w:r>
    </w:p>
    <w:p>
      <w:pPr>
        <w:keepLines/>
      </w:pPr>
      <w:r>
        <w:rPr>
          <w:b/>
        </w:rPr>
        <w:t xml:space="preserve">Juice Shop example </w:t>
      </w:r>
      <w:r>
        <w:t>During the View Basket challenge, I viewed another user's basket by manipulating the targeted object. I also tested access to the Admin Section. These exercises demonstrated missing object-level and function-level authorization checks.</w:t>
      </w:r>
    </w:p>
    <w:p>
      <w:pPr>
        <w:keepLines/>
      </w:pPr>
      <w:r>
        <w:rPr>
          <w:b/>
        </w:rPr>
        <w:t xml:space="preserve">What I learned </w:t>
      </w:r>
      <w:r>
        <w:t>Authentication answers who the user is; authorization must still be checked for every object and action. Hiding a page or storing an object identifier in the browser is not an access-control boundary.</w:t>
      </w:r>
    </w:p>
    <w:p>
      <w:pPr>
        <w:keepLines/>
      </w:pPr>
      <w:r>
        <w:rPr>
          <w:b/>
        </w:rPr>
        <w:t xml:space="preserve">Defensive controls </w:t>
      </w:r>
      <w:r>
        <w:t>Deny access by default, enforce role and record ownership checks in trusted server-side code, centralize authorization rules, test horizontal and vertical privilege changes, and log repeated denials.</w:t>
      </w:r>
    </w:p>
    <w:p>
      <w:pPr>
        <w:pStyle w:val="Heading2"/>
        <w:keepNext/>
        <w:pageBreakBefore/>
      </w:pPr>
      <w:r>
        <w:t>A02 Security Misconfiguration</w:t>
      </w:r>
    </w:p>
    <w:p>
      <w:pPr>
        <w:keepLines/>
      </w:pPr>
      <w:r>
        <w:rPr>
          <w:b/>
        </w:rPr>
        <w:t xml:space="preserve">Risk </w:t>
      </w:r>
      <w:r>
        <w:t>A secure application can still be exposed by unsafe defaults, unnecessary services, forgotten endpoints, verbose errors, missing headers, or sensitive deployment artifacts.</w:t>
      </w:r>
    </w:p>
    <w:p>
      <w:pPr>
        <w:keepLines/>
      </w:pPr>
      <w:r>
        <w:rPr>
          <w:b/>
        </w:rPr>
        <w:t xml:space="preserve">Juice Shop example </w:t>
      </w:r>
      <w:r>
        <w:t>Deprecated Interface uses a B2B endpoint that was not fully removed. Misplaced IaC Files exposes infrastructure configuration in the web deliverable. These are configuration and release-hygiene failures rather than novel coding flaws.</w:t>
      </w:r>
    </w:p>
    <w:p>
      <w:pPr>
        <w:keepLines/>
      </w:pPr>
      <w:r>
        <w:rPr>
          <w:b/>
        </w:rPr>
        <w:t xml:space="preserve">What I learned </w:t>
      </w:r>
      <w:r>
        <w:t>Attack surface includes what remains enabled and what is accidentally packaged. A feature that is absent from navigation may still be reachable, and deployment files may reveal infrastructure details.</w:t>
      </w:r>
    </w:p>
    <w:p>
      <w:pPr>
        <w:keepLines/>
      </w:pPr>
      <w:r>
        <w:rPr>
          <w:b/>
        </w:rPr>
        <w:t xml:space="preserve">Defensive controls </w:t>
      </w:r>
      <w:r>
        <w:t>Use repeatable hardening baselines, remove unused endpoints and sample files, separate build artifacts from deployable content, verify security headers, centralize safe error responses, and continuously test configuration drift.</w:t>
      </w:r>
    </w:p>
    <w:p>
      <w:pPr>
        <w:pStyle w:val="Heading2"/>
        <w:keepNext/>
      </w:pPr>
      <w:r>
        <w:t>A03 Software Supply Chain Failures</w:t>
      </w:r>
    </w:p>
    <w:p>
      <w:pPr>
        <w:keepLines/>
      </w:pPr>
      <w:r>
        <w:rPr>
          <w:b/>
        </w:rPr>
        <w:t xml:space="preserve">Risk </w:t>
      </w:r>
      <w:r>
        <w:t>Applications inherit risk from dependencies, build tools, repositories, CI/CD systems, artifact stores, and update channels.</w:t>
      </w:r>
    </w:p>
    <w:p>
      <w:pPr>
        <w:keepLines/>
      </w:pPr>
      <w:r>
        <w:rPr>
          <w:b/>
        </w:rPr>
        <w:t xml:space="preserve">Juice Shop example </w:t>
      </w:r>
      <w:r>
        <w:t>The Supply Chain Attack challenge focuses on danger to developer credentials, and Vulnerable Library requires identifying a high-severity flaw in a directly used dependency. Juice Shop labels these under Vulnerable Components, which the 2025 category expands into the broader software supply chain.</w:t>
      </w:r>
    </w:p>
    <w:p>
      <w:pPr>
        <w:keepLines/>
      </w:pPr>
      <w:r>
        <w:rPr>
          <w:b/>
        </w:rPr>
        <w:t xml:space="preserve">What I learned </w:t>
      </w:r>
      <w:r>
        <w:t>Dependency risk is not limited to an old library. A compromised maintainer account, build pipeline, registry, or update path can introduce trusted-looking malicious code.</w:t>
      </w:r>
    </w:p>
    <w:p>
      <w:pPr>
        <w:keepLines/>
      </w:pPr>
      <w:r>
        <w:rPr>
          <w:b/>
        </w:rPr>
        <w:t xml:space="preserve">Defensive controls </w:t>
      </w:r>
      <w:r>
        <w:t>Maintain an SBOM, pin and review dependencies, monitor direct and transitive components, obtain packages from trusted sources, verify signatures and provenance, protect developer and CI credentials with MFA, and use staged releases.</w:t>
      </w:r>
    </w:p>
    <w:p>
      <w:pPr>
        <w:pStyle w:val="Heading2"/>
        <w:keepNext/>
      </w:pPr>
      <w:r>
        <w:t>A04 Cryptographic Failures</w:t>
      </w:r>
    </w:p>
    <w:p>
      <w:pPr>
        <w:keepLines/>
      </w:pPr>
      <w:r>
        <w:rPr>
          <w:b/>
        </w:rPr>
        <w:t xml:space="preserve">Risk </w:t>
      </w:r>
      <w:r>
        <w:t>Cryptographic protection fails when algorithms, randomness, keys, password storage, transport protection, or protocol use are weak or bypassable.</w:t>
      </w:r>
    </w:p>
    <w:p>
      <w:pPr>
        <w:keepLines/>
      </w:pPr>
      <w:r>
        <w:rPr>
          <w:b/>
        </w:rPr>
        <w:t xml:space="preserve">Juice Shop example </w:t>
      </w:r>
      <w:r>
        <w:t>During Forged Coupon, I analyzed the coupon mechanism and demonstrated how a predictable value could produce an unauthorized discount. Weird Crypto showed how identifying an unsafe algorithm or library can expose weaknesses in cryptographic protection.</w:t>
      </w:r>
    </w:p>
    <w:p>
      <w:pPr>
        <w:keepLines/>
      </w:pPr>
      <w:r>
        <w:rPr>
          <w:b/>
        </w:rPr>
        <w:t xml:space="preserve">What I learned </w:t>
      </w:r>
      <w:r>
        <w:t>Encoding and obscurity do not provide integrity. A predictable token can be forged even when its format looks complex, and correct algorithms can still fail through poor key management or unsafe modes.</w:t>
      </w:r>
    </w:p>
    <w:p>
      <w:pPr>
        <w:keepLines/>
      </w:pPr>
      <w:r>
        <w:rPr>
          <w:b/>
        </w:rPr>
        <w:t xml:space="preserve">Defensive controls </w:t>
      </w:r>
      <w:r>
        <w:t>Classify sensitive data, use current approved primitives, generate unpredictable values with a cryptographically secure random source, protect and rotate keys, use authenticated encryption where needed, enforce TLS, and hash passwords with a modern password-specific function.</w:t>
      </w:r>
    </w:p>
    <w:p>
      <w:pPr>
        <w:pStyle w:val="Heading2"/>
        <w:keepNext/>
      </w:pPr>
      <w:r>
        <w:t>A05 Injection</w:t>
      </w:r>
    </w:p>
    <w:p>
      <w:pPr>
        <w:keepLines/>
      </w:pPr>
      <w:r>
        <w:rPr>
          <w:b/>
        </w:rPr>
        <w:t xml:space="preserve">Risk </w:t>
      </w:r>
      <w:r>
        <w:t>Injection occurs when untrusted data reaches a database, browser, command shell, template engine, or another interpreter and changes the intended command or document structure.</w:t>
      </w:r>
    </w:p>
    <w:p>
      <w:pPr>
        <w:keepLines/>
      </w:pPr>
      <w:r>
        <w:rPr>
          <w:b/>
        </w:rPr>
        <w:t xml:space="preserve">Juice Shop example </w:t>
      </w:r>
      <w:r>
        <w:t>Database Schema demonstrates SQL injection used to retrieve schema data. DOM XSS demonstrates browser-side execution caused by unsafe handling of input in the page. OWASP Top 10 2025 explicitly includes both SQL injection and cross-site scripting in A05.</w:t>
      </w:r>
    </w:p>
    <w:p>
      <w:pPr>
        <w:keepLines/>
      </w:pPr>
      <w:r>
        <w:rPr>
          <w:b/>
        </w:rPr>
        <w:t xml:space="preserve">What I learned </w:t>
      </w:r>
      <w:r>
        <w:t>Validation alone is not a universal fix. The defense must match the interpreter: parameterized queries for databases and context-aware output encoding or safe DOM APIs for browsers.</w:t>
      </w:r>
    </w:p>
    <w:p>
      <w:pPr>
        <w:keepLines/>
      </w:pPr>
      <w:r>
        <w:rPr>
          <w:b/>
        </w:rPr>
        <w:t xml:space="preserve">Defensive controls </w:t>
      </w:r>
      <w:r>
        <w:t>Keep data separate from commands, use parameterized interfaces, apply allowlist validation where appropriate, encode output for its exact context, avoid dangerous DOM sinks, and combine code review with automated tests and fuzzing.</w:t>
      </w:r>
    </w:p>
    <w:p>
      <w:pPr>
        <w:pStyle w:val="Heading2"/>
        <w:keepNext/>
      </w:pPr>
      <w:r>
        <w:t>A06 Insecure Design</w:t>
      </w:r>
    </w:p>
    <w:p>
      <w:pPr>
        <w:keepLines/>
      </w:pPr>
      <w:r>
        <w:rPr>
          <w:b/>
        </w:rPr>
        <w:t xml:space="preserve">Risk </w:t>
      </w:r>
      <w:r>
        <w:t>Insecure design means a necessary control was missing or ineffective in the intended workflow, especially around business rules, trust boundaries, and abuse cases.</w:t>
      </w:r>
    </w:p>
    <w:p>
      <w:pPr>
        <w:keepLines/>
      </w:pPr>
      <w:r>
        <w:rPr>
          <w:b/>
        </w:rPr>
        <w:t xml:space="preserve">Juice Shop example </w:t>
      </w:r>
      <w:r>
        <w:t>During Payback Time, I created an order that violated the expected transaction rules and caused the shop to owe money. CAPTCHA Bypass demonstrated that an anti-automation control can exist yet fail to constrain the intended behavior.</w:t>
      </w:r>
    </w:p>
    <w:p>
      <w:pPr>
        <w:keepLines/>
      </w:pPr>
      <w:r>
        <w:rPr>
          <w:b/>
        </w:rPr>
        <w:t xml:space="preserve">What I learned </w:t>
      </w:r>
      <w:r>
        <w:t>A valid request can still be abusive. Secure design must define impossible states, rate limits, value ranges, and misuse cases before implementation begins.</w:t>
      </w:r>
    </w:p>
    <w:p>
      <w:pPr>
        <w:keepLines/>
      </w:pPr>
      <w:r>
        <w:rPr>
          <w:b/>
        </w:rPr>
        <w:t xml:space="preserve">Defensive controls </w:t>
      </w:r>
      <w:r>
        <w:t>Threat-model critical workflows, write security requirements and abuse cases, enforce business invariants at every trusted tier, limit transaction frequency and value, and test failure states with unit and integration tests.</w:t>
      </w:r>
    </w:p>
    <w:p>
      <w:pPr>
        <w:pStyle w:val="Heading2"/>
        <w:keepNext/>
      </w:pPr>
      <w:r>
        <w:t>A07 Authentication Failures</w:t>
      </w:r>
    </w:p>
    <w:p>
      <w:pPr>
        <w:keepLines/>
      </w:pPr>
      <w:r>
        <w:rPr>
          <w:b/>
        </w:rPr>
        <w:t xml:space="preserve">Risk </w:t>
      </w:r>
      <w:r>
        <w:t>Authentication fails when an application accepts weak or stolen credentials, allows automated guessing, uses unsafe recovery, mishandles sessions, or exposes authentication secrets.</w:t>
      </w:r>
    </w:p>
    <w:p>
      <w:pPr>
        <w:keepLines/>
      </w:pPr>
      <w:r>
        <w:rPr>
          <w:b/>
        </w:rPr>
        <w:t xml:space="preserve">Juice Shop example </w:t>
      </w:r>
      <w:r>
        <w:t>During Password Strength, I examined how weak credentials can expose an administrator account without relying on SQL injection. The Two Factor Authentication challenge demonstrated the impact of exposing a stored TOTP secret.</w:t>
      </w:r>
    </w:p>
    <w:p>
      <w:pPr>
        <w:keepLines/>
      </w:pPr>
      <w:r>
        <w:rPr>
          <w:b/>
        </w:rPr>
        <w:t xml:space="preserve">What I learned </w:t>
      </w:r>
      <w:r>
        <w:t>Adding MFA does not help if its seed is exposed. Authentication must protect enrollment, recovery, secrets, sessions, and automated attack defenses as one complete lifecycle.</w:t>
      </w:r>
    </w:p>
    <w:p>
      <w:pPr>
        <w:keepLines/>
      </w:pPr>
      <w:r>
        <w:rPr>
          <w:b/>
        </w:rPr>
        <w:t xml:space="preserve">Defensive controls </w:t>
      </w:r>
      <w:r>
        <w:t>Require MFA where appropriate, block known-breached passwords, rate-limit and detect automated attempts, use safe recovery rather than knowledge questions, protect MFA secrets, rotate sessions after login, and invalidate sessions on logout or inactivity.</w:t>
      </w:r>
    </w:p>
    <w:p>
      <w:pPr>
        <w:pStyle w:val="Heading2"/>
        <w:keepNext/>
      </w:pPr>
      <w:r>
        <w:t>A08 Software or Data Integrity Failures</w:t>
      </w:r>
    </w:p>
    <w:p>
      <w:pPr>
        <w:keepLines/>
      </w:pPr>
      <w:r>
        <w:rPr>
          <w:b/>
        </w:rPr>
        <w:t xml:space="preserve">Risk </w:t>
      </w:r>
      <w:r>
        <w:t>Integrity failures occur when software or critical data is treated as trusted without verifying its source or detecting modification. Insecure deserialization is included in this category.</w:t>
      </w:r>
    </w:p>
    <w:p>
      <w:pPr>
        <w:keepLines/>
      </w:pPr>
      <w:r>
        <w:rPr>
          <w:b/>
        </w:rPr>
        <w:t xml:space="preserve">Juice Shop example </w:t>
      </w:r>
      <w:r>
        <w:t>Unsigned JWT accepts a token whose integrity protection has effectively been removed. Blocked RCE DoS uses insecure deserialization to turn attacker-controlled structured data into unintended server behavior. Juice Shop categorizes the first as Vulnerable Components and the second as Insecure Deserialization.</w:t>
      </w:r>
    </w:p>
    <w:p>
      <w:pPr>
        <w:keepLines/>
      </w:pPr>
      <w:r>
        <w:rPr>
          <w:b/>
        </w:rPr>
        <w:t xml:space="preserve">What I learned </w:t>
      </w:r>
      <w:r>
        <w:t>A structured or signed-looking object is not trustworthy by appearance. Verification must reject unsupported algorithms, altered tokens, untrusted serialized types, and artifacts without valid provenance.</w:t>
      </w:r>
    </w:p>
    <w:p>
      <w:pPr>
        <w:keepLines/>
      </w:pPr>
      <w:r>
        <w:rPr>
          <w:b/>
        </w:rPr>
        <w:t xml:space="preserve">Defensive controls </w:t>
      </w:r>
      <w:r>
        <w:t>Verify digital signatures and algorithm choices, allowlist acceptable token algorithms, validate claims, avoid deserializing untrusted objects, use simple data formats and schemas, sign release artifacts, and protect CI/CD trust boundaries.</w:t>
      </w:r>
    </w:p>
    <w:p>
      <w:pPr>
        <w:pStyle w:val="Heading2"/>
        <w:keepNext/>
      </w:pPr>
      <w:r>
        <w:t>A09 Security Logging and Alerting Failures</w:t>
      </w:r>
    </w:p>
    <w:p>
      <w:pPr>
        <w:keepLines/>
      </w:pPr>
      <w:r>
        <w:rPr>
          <w:b/>
        </w:rPr>
        <w:t xml:space="preserve">Risk </w:t>
      </w:r>
      <w:r>
        <w:t>This category covers missing, inconsistent, unprotected, or unmonitored security records and alerts that fail to trigger timely action.</w:t>
      </w:r>
    </w:p>
    <w:p>
      <w:pPr>
        <w:keepLines/>
      </w:pPr>
      <w:r>
        <w:rPr>
          <w:b/>
        </w:rPr>
        <w:t xml:space="preserve">Juice Shop example </w:t>
      </w:r>
      <w:r>
        <w:t>During the observability exercises, I accessed a server log and identified an exposed metrics endpoint. This confirmed that operational telemetry needs access control. It also showed that collecting telemetry is only part of the control; security events must reach responders through meaningful alerts.</w:t>
      </w:r>
    </w:p>
    <w:p>
      <w:pPr>
        <w:keepLines/>
      </w:pPr>
      <w:r>
        <w:rPr>
          <w:b/>
        </w:rPr>
        <w:t xml:space="preserve">What I learned </w:t>
      </w:r>
      <w:r>
        <w:t>More logging is not automatically safer. Logs can leak credentials or operational data, and a complete control also requires integrity protection, central monitoring, meaningful thresholds, ownership, and response procedures.</w:t>
      </w:r>
    </w:p>
    <w:p>
      <w:pPr>
        <w:keepLines/>
      </w:pPr>
      <w:r>
        <w:rPr>
          <w:b/>
        </w:rPr>
        <w:t xml:space="preserve">Defensive controls </w:t>
      </w:r>
      <w:r>
        <w:t>Log authentication and high-value actions consistently, exclude or mask secrets, centralize records, protect log integrity, define actionable alerts and escalation paths, test that simulated attacks trigger alerts, and retain records for investigation.</w:t>
      </w:r>
    </w:p>
    <w:p>
      <w:pPr>
        <w:pStyle w:val="Heading2"/>
        <w:keepNext/>
      </w:pPr>
      <w:r>
        <w:t>A10 Mishandling of Exceptional Conditions</w:t>
      </w:r>
    </w:p>
    <w:p>
      <w:pPr>
        <w:keepLines/>
      </w:pPr>
      <w:r>
        <w:rPr>
          <w:b/>
        </w:rPr>
        <w:t xml:space="preserve">Risk </w:t>
      </w:r>
      <w:r>
        <w:t>The 2025 category covers failures to prevent, detect, or safely respond to abnormal inputs, missing parameters, resource exhaustion, privilege errors, and unexpected system states.</w:t>
      </w:r>
    </w:p>
    <w:p>
      <w:pPr>
        <w:keepLines/>
      </w:pPr>
      <w:r>
        <w:rPr>
          <w:b/>
        </w:rPr>
        <w:t xml:space="preserve">Juice Shop example </w:t>
      </w:r>
      <w:r>
        <w:t>During the Error Handling challenge, I provoked an error that the application handled neither gracefully nor consistently. The behavior closely matched the 2025 exceptional-conditions category because the failure path disclosed implementation behavior and produced an unsafe response.</w:t>
      </w:r>
    </w:p>
    <w:p>
      <w:pPr>
        <w:keepLines/>
      </w:pPr>
      <w:r>
        <w:rPr>
          <w:b/>
        </w:rPr>
        <w:t xml:space="preserve">What I learned </w:t>
      </w:r>
      <w:r>
        <w:t>Error handling is part of the security model. Inconsistent failure paths may disclose details, bypass a control, corrupt state, or leave the application unavailable.</w:t>
      </w:r>
    </w:p>
    <w:p>
      <w:pPr>
        <w:keepLines/>
      </w:pPr>
      <w:r>
        <w:rPr>
          <w:b/>
        </w:rPr>
        <w:t xml:space="preserve">Defensive controls </w:t>
      </w:r>
      <w:r>
        <w:t>Validate inputs early, handle exceptions close to their source, return consistent minimal errors, log diagnostic detail only on trusted systems, fail closed for authorization and transactions, enforce time and resource limits, and test degraded dependencies.</w:t>
      </w:r>
    </w:p>
    <w:p>
      <w:pPr>
        <w:pStyle w:val="Heading1"/>
      </w:pPr>
      <w:r>
        <w:t>Important Category Boundaries</w:t>
      </w:r>
    </w:p>
    <w:p>
      <w:pPr>
        <w:pStyle w:val="ReportBullet"/>
        <w:keepLines/>
      </w:pPr>
      <w:r>
        <w:t>•  Authentication and authorization are separate. A valid login does not justify access to another user's records or an administrator function.</w:t>
      </w:r>
    </w:p>
    <w:p>
      <w:pPr>
        <w:pStyle w:val="ReportBullet"/>
        <w:keepLines/>
      </w:pPr>
      <w:r>
        <w:t>•  Supply chain failures concern the ecosystem that creates and delivers software. Integrity failures concern accepting software or data without sufficient verification.</w:t>
      </w:r>
    </w:p>
    <w:p>
      <w:pPr>
        <w:pStyle w:val="ReportBullet"/>
        <w:keepLines/>
      </w:pPr>
      <w:r>
        <w:t>•  Cryptographic failures concern the protection mechanism and key lifecycle. Integrity failures concern whether protected content is actually verified before trust.</w:t>
      </w:r>
    </w:p>
    <w:p>
      <w:pPr>
        <w:pStyle w:val="ReportBullet"/>
        <w:keepLines/>
      </w:pPr>
      <w:r>
        <w:t>•  Security misconfiguration and exceptional-condition handling overlap. The new A10 category makes failure-state behavior a primary design and implementation concern.</w:t>
      </w:r>
    </w:p>
    <w:p>
      <w:pPr>
        <w:pStyle w:val="ReportBullet"/>
        <w:keepLines/>
      </w:pPr>
      <w:r>
        <w:t>•  Logging is not the same as alerting. A log can exist and still fail to support detection, escalation, or response.</w:t>
      </w:r>
    </w:p>
    <w:p>
      <w:pPr>
        <w:pStyle w:val="Heading1"/>
      </w:pPr>
      <w:r>
        <w:t>Lab Process and Safety Controls</w:t>
      </w:r>
    </w:p>
    <w:p>
      <w:r>
        <w:t>I conducted the lab in a disposable local Juice Shop environment and kept the service bound to the loopback interface. I used a controlled workflow to limit exposure and preserve only the evidence needed for the write-up.</w:t>
      </w:r>
    </w:p>
    <w:p>
      <w:pPr>
        <w:pStyle w:val="ReportBullet"/>
        <w:keepLines/>
      </w:pPr>
      <w:r>
        <w:t>•  I started with a clean local instance and recorded its version and configuration.</w:t>
      </w:r>
    </w:p>
    <w:p>
      <w:pPr>
        <w:pStyle w:val="ReportBullet"/>
        <w:keepLines/>
      </w:pPr>
      <w:r>
        <w:t>•  I bound the service to 127.0.0.1 rather than exposing it to the local network or Internet.</w:t>
      </w:r>
    </w:p>
    <w:p>
      <w:pPr>
        <w:pStyle w:val="ReportBullet"/>
        <w:keepLines/>
      </w:pPr>
      <w:r>
        <w:t>•  I created a normal test account and captured baseline requests before changing identifiers or inputs.</w:t>
      </w:r>
    </w:p>
    <w:p>
      <w:pPr>
        <w:pStyle w:val="ReportBullet"/>
        <w:keepLines/>
      </w:pPr>
      <w:r>
        <w:t>•  I tested one challenge at a time, saved only minimal evidence, and avoided denial-of-service or danger-zone challenges.</w:t>
      </w:r>
    </w:p>
    <w:p>
      <w:pPr>
        <w:pStyle w:val="ReportBullet"/>
        <w:keepLines/>
      </w:pPr>
      <w:r>
        <w:t>•  For each observation, I recorded the workflow, expected behavior, actual behavior, OWASP category, business impact, and recommended control.</w:t>
      </w:r>
    </w:p>
    <w:p>
      <w:pPr>
        <w:pStyle w:val="ReportBullet"/>
        <w:keepLines/>
      </w:pPr>
      <w:r>
        <w:t>•  I stopped the vulnerable instance after the exercise and did not reuse the test credentials elsewhere.</w:t>
      </w:r>
    </w:p>
    <w:p>
      <w:pPr>
        <w:spacing w:before="80" w:after="160"/>
        <w:ind w:left="432"/>
      </w:pPr>
      <w:r>
        <w:rPr>
          <w:rFonts w:ascii="Consolas" w:hAnsi="Consolas"/>
          <w:color w:val="202020"/>
          <w:sz w:val="19"/>
        </w:rPr>
        <w:t>docker run --rm -p 127.0.0.1:3000:3000 bkimminich/juice-shop</w:t>
      </w:r>
    </w:p>
    <w:p>
      <w:pPr>
        <w:pStyle w:val="Heading1"/>
      </w:pPr>
      <w:r>
        <w:t>Conclusions</w:t>
      </w:r>
    </w:p>
    <w:p>
      <w:r>
        <w:t>Juice Shop is useful because it connects abstract risk categories to recognizable application behavior. The mapping also shows why a checklist is not enough: one weakness can cross several categories depending on its root cause and impact. The strongest defensive approach combines secure design, server-side enforcement, dependency governance, tested failure handling, and logging that leads to action.</w:t>
      </w:r>
    </w:p>
    <w:p>
      <w:r>
        <w:t>I validated the direct and strong mappings through representative challenges including View Basket, Deprecated Interface, Password Strength, Database Schema, and Error Handling. Together, these exercises covered authorization, configuration, authentication, injection, and exceptional conditions without requiring the highest-risk danger-zone challenges.</w:t>
      </w:r>
    </w:p>
    <w:sectPr w:rsidR="00FC693F" w:rsidRPr="0006063C" w:rsidSect="00034616">
      <w:footerReference w:type="default" r:id="rId24"/>
      <w:pgSz w:w="12240" w:h="15840"/>
      <w:pgMar w:top="1123" w:right="1224" w:bottom="1037"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color w:val="666666"/>
        <w:sz w:val="18"/>
      </w:rPr>
      <w:t xml:space="preserve">OWASP Juice Shop Top 10 2025 Mapping  |  Page </w:t>
    </w:r>
    <w:r>
      <w:rPr>
        <w:rFonts w:ascii="Arial" w:hAnsi="Arial"/>
        <w:color w:val="6666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ullet">
    <w:name w:val="Report Bullet"/>
    <w:basedOn w:val="Normal"/>
    <w:pPr>
      <w:spacing w:after="60" w:line="252" w:lineRule="auto"/>
      <w:ind w:left="403" w:hanging="259"/>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wasp.org/Top10/" TargetMode="External"/><Relationship Id="rId10" Type="http://schemas.openxmlformats.org/officeDocument/2006/relationships/hyperlink" Target="https://owasp.org/Top10/2025/0x00_2025-Introduction/" TargetMode="External"/><Relationship Id="rId11" Type="http://schemas.openxmlformats.org/officeDocument/2006/relationships/hyperlink" Target="https://owasp.org/www-project-juice-shop/" TargetMode="External"/><Relationship Id="rId12" Type="http://schemas.openxmlformats.org/officeDocument/2006/relationships/hyperlink" Target="https://raw.githubusercontent.com/juice-shop/juice-shop/v20.2.0/data/static/challenges.yml" TargetMode="External"/><Relationship Id="rId13" Type="http://schemas.openxmlformats.org/officeDocument/2006/relationships/hyperlink" Target="https://pwning.owasp-juice.shop/companion-guide/latest/part1/challenges.html" TargetMode="External"/><Relationship Id="rId14" Type="http://schemas.openxmlformats.org/officeDocument/2006/relationships/hyperlink" Target="https://owasp.org/Top10/2025/A01_2025-Broken_Access_Control/" TargetMode="External"/><Relationship Id="rId15" Type="http://schemas.openxmlformats.org/officeDocument/2006/relationships/hyperlink" Target="https://owasp.org/Top10/2025/A02_2025-Security_Misconfiguration/" TargetMode="External"/><Relationship Id="rId16" Type="http://schemas.openxmlformats.org/officeDocument/2006/relationships/hyperlink" Target="https://owasp.org/Top10/2025/A03_2025-Software_Supply_Chain_Failures/" TargetMode="External"/><Relationship Id="rId17" Type="http://schemas.openxmlformats.org/officeDocument/2006/relationships/hyperlink" Target="https://owasp.org/Top10/2025/A04_2025-Cryptographic_Failures/" TargetMode="External"/><Relationship Id="rId18" Type="http://schemas.openxmlformats.org/officeDocument/2006/relationships/hyperlink" Target="https://owasp.org/Top10/2025/A05_2025-Injection/" TargetMode="External"/><Relationship Id="rId19" Type="http://schemas.openxmlformats.org/officeDocument/2006/relationships/hyperlink" Target="https://owasp.org/Top10/2025/A06_2025-Insecure_Design/" TargetMode="External"/><Relationship Id="rId20" Type="http://schemas.openxmlformats.org/officeDocument/2006/relationships/hyperlink" Target="https://owasp.org/Top10/2025/A07_2025-Authentication_Failures/" TargetMode="External"/><Relationship Id="rId21" Type="http://schemas.openxmlformats.org/officeDocument/2006/relationships/hyperlink" Target="https://owasp.org/Top10/2025/A08_2025-Software_or_Data_Integrity_Failures/" TargetMode="External"/><Relationship Id="rId22" Type="http://schemas.openxmlformats.org/officeDocument/2006/relationships/hyperlink" Target="https://owasp.org/Top10/2025/A09_2025-Security_Logging_and_Alerting_Failures/" TargetMode="External"/><Relationship Id="rId23" Type="http://schemas.openxmlformats.org/officeDocument/2006/relationships/hyperlink" Target="https://owasp.org/Top10/2025/A10_2025-Mishandling_of_Exceptional_Conditions/" TargetMode="Externa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Juice Shop Top 10 2025 Mapping</dc:title>
  <dc:subject>Hands-on OWASP Juice Shop lab mapped to the OWASP Top 10 2025</dc:subject>
  <dc:creator>python-docx</dc:creator>
  <cp:keywords>OWASP, Juice Shop, Top 10 2025, application security, vulnerability mapping</cp:keywords>
  <dc:description>generated by python-docx</dc:description>
  <cp:lastModifiedBy/>
  <cp:revision>1</cp:revision>
  <dcterms:created xsi:type="dcterms:W3CDTF">2013-12-23T23:15:00Z</dcterms:created>
  <dcterms:modified xsi:type="dcterms:W3CDTF">2013-12-23T23:15:00Z</dcterms:modified>
  <cp:category/>
</cp:coreProperties>
</file>