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F3864"/>
          <w:sz w:val="34"/>
          <w:szCs w:val="34"/>
        </w:rPr>
        <w:t xml:space="preserve">LEVANTAMIENTO Y ESPECIFICACIÓN DE REQUISITOS DE FINTEC</w:t>
      </w:r>
    </w:p>
    <w:p>
      <w:pPr>
        <w:spacing w:after="900"/>
        <w:jc w:val="center"/>
      </w:pPr>
      <w:r>
        <w:rPr>
          <w:i/>
          <w:iCs/>
          <w:sz w:val="22"/>
          <w:szCs w:val="22"/>
        </w:rPr>
        <w:t xml:space="preserve">Versión corregida — incorpora hallazgos de entrevista, reglas de negocio, escenarios de comportamiento, trazabilidad y validación del cliente</w:t>
      </w:r>
    </w:p>
    <w:p>
      <w:pPr>
        <w:spacing w:after="80"/>
        <w:jc w:val="center"/>
      </w:pPr>
      <w:r>
        <w:rPr>
          <w:sz w:val="22"/>
          <w:szCs w:val="22"/>
        </w:rPr>
        <w:t xml:space="preserve">ISABELA CASTRILLON GALEANO</w:t>
      </w:r>
    </w:p>
    <w:p>
      <w:pPr>
        <w:spacing w:after="80"/>
        <w:jc w:val="center"/>
      </w:pPr>
      <w:r>
        <w:rPr>
          <w:sz w:val="22"/>
          <w:szCs w:val="22"/>
        </w:rPr>
        <w:t xml:space="preserve">SAMARA CORDERO CASTILLO</w:t>
      </w:r>
    </w:p>
    <w:p>
      <w:pPr>
        <w:spacing w:after="80"/>
        <w:jc w:val="center"/>
      </w:pPr>
      <w:r>
        <w:rPr>
          <w:sz w:val="22"/>
          <w:szCs w:val="22"/>
        </w:rPr>
        <w:t xml:space="preserve">ALISON ROJAS RESTREPO</w:t>
      </w:r>
    </w:p>
    <w:p>
      <w:pPr>
        <w:spacing w:after="80"/>
        <w:jc w:val="center"/>
      </w:pPr>
      <w:r>
        <w:rPr>
          <w:sz w:val="22"/>
          <w:szCs w:val="22"/>
        </w:rPr>
        <w:t xml:space="preserve">JHON FREDY ZAPATA LOPEZ</w:t>
      </w:r>
    </w:p>
    <w:p>
      <w:pPr>
        <w:spacing w:after="900"/>
        <w:jc w:val="center"/>
      </w:pPr>
      <w:r>
        <w:rPr>
          <w:sz w:val="22"/>
          <w:szCs w:val="22"/>
        </w:rPr>
        <w:t xml:space="preserve">JUAN JOSÉ RODRÍGUEZ VALDERRAMA</w:t>
      </w:r>
    </w:p>
    <w:p>
      <w:pPr>
        <w:spacing w:after="80"/>
        <w:jc w:val="center"/>
      </w:pPr>
      <w:r>
        <w:rPr>
          <w:sz w:val="22"/>
          <w:szCs w:val="22"/>
        </w:rPr>
        <w:t xml:space="preserve">INSTITUCIÓN UNIVERSITARIA POLITÉCNICO GRANCOLOMBIANO</w:t>
      </w:r>
    </w:p>
    <w:p>
      <w:pPr>
        <w:spacing w:after="80"/>
        <w:jc w:val="center"/>
      </w:pPr>
      <w:r>
        <w:rPr>
          <w:sz w:val="22"/>
          <w:szCs w:val="22"/>
        </w:rPr>
        <w:t xml:space="preserve">INGENIERÍA DE SOFTWARE 1</w:t>
      </w:r>
    </w:p>
    <w:p>
      <w:pPr>
        <w:spacing w:after="80"/>
        <w:jc w:val="center"/>
      </w:pPr>
      <w:r>
        <w:rPr>
          <w:sz w:val="22"/>
          <w:szCs w:val="22"/>
        </w:rPr>
        <w:t xml:space="preserve">DOCENTE: GÓMEZ YEPES ELIZABETH</w:t>
      </w:r>
    </w:p>
    <w:p>
      <w:pPr>
        <w:jc w:val="center"/>
      </w:pPr>
      <w:r>
        <w:rPr>
          <w:sz w:val="22"/>
          <w:szCs w:val="22"/>
        </w:rPr>
        <w:t xml:space="preserve">2026</w:t>
      </w:r>
    </w:p>
    <w:p>
      <w:r>
        <w:br w:type="page"/>
      </w:r>
    </w:p>
    <w:p>
      <w:pPr>
        <w:pStyle w:val="Heading1"/>
        <w:spacing w:after="160" w:before="320"/>
      </w:pPr>
      <w:r>
        <w:t xml:space="preserve">1. Presentación</w:t>
      </w:r>
    </w:p>
    <w:p>
      <w:pPr>
        <w:spacing w:after="160"/>
        <w:jc w:val="both"/>
      </w:pPr>
      <w:r>
        <w:t xml:space="preserve">Se establece un equipo de desarrollo que trabaja con el objetivo de realizar el levantamiento y análisis de requerimientos funcionales, el modelamiento de las necesidades y la implementación de un primer prototipo funcional de una aplicación, cumpliendo con las necesidades del cliente.</w:t>
      </w:r>
    </w:p>
    <w:p>
      <w:pPr>
        <w:spacing w:after="160"/>
        <w:jc w:val="both"/>
      </w:pPr>
      <w:r>
        <w:t xml:space="preserve">La empresa que se alinea a los requerimientos levantados en el presente documento es FINTEC. Nuestro propósito como equipo de desarrollo es comprender de manera integral las necesidades de la empresa y transformarlas en especificaciones claras que orienten el diseño, desarrollo e implementación de la solución tecnológica.</w:t>
      </w:r>
    </w:p>
    <w:p>
      <w:pPr>
        <w:spacing w:after="160"/>
        <w:jc w:val="both"/>
      </w:pPr>
      <w:r>
        <w:t xml:space="preserve">Esta versión del documento corrige e incorpora hallazgos que en la entrega anterior se levantaron durante la entrevista pero no se tradujeron a la especificación (notificaciones, reportes descargables y un dashboard contable detallado), formaliza reglas de negocio, hace medibles los requisitos no funcionales, añade escenarios de comportamiento, un diagrama de casos de uso en notación UML estándar, una matriz de trazabilidad y el mecanismo de validación con el cliente.</w:t>
      </w:r>
    </w:p>
    <w:p>
      <w:pPr>
        <w:pStyle w:val="Heading1"/>
        <w:spacing w:after="160" w:before="320"/>
      </w:pPr>
      <w:r>
        <w:t xml:space="preserve">2. Metodología de Desarrollo</w:t>
      </w:r>
    </w:p>
    <w:p>
      <w:pPr>
        <w:pStyle w:val="Heading2"/>
        <w:spacing w:after="120" w:before="240"/>
      </w:pPr>
      <w:r>
        <w:t xml:space="preserve">2.1 Comparación de modelos de proceso de software</w:t>
      </w:r>
    </w:p>
    <w:p>
      <w:pPr>
        <w:spacing w:after="160"/>
        <w:jc w:val="both"/>
      </w:pPr>
      <w:r>
        <w:t xml:space="preserve">Antes de seleccionar el modelo de trabajo se compararon tres modelos de proceso de software tradicionales, evaluando su flexibilidad ante cambios, la forma de entrega al cliente, la complejidad de gestión que exigen y su adecuación al tiempo disponible en el semestre académico:</w:t>
      </w:r>
    </w:p>
    <w:tbl>
      <w:tblPr>
        <w:tblW w:type="dxa" w:w="9351"/>
        <w:tblBorders>
          <w:top w:val="single" w:color="auto" w:sz="4"/>
          <w:left w:val="single" w:color="auto" w:sz="4"/>
          <w:bottom w:val="single" w:color="auto" w:sz="4"/>
          <w:right w:val="single" w:color="auto" w:sz="4"/>
          <w:insideH w:val="single" w:color="auto" w:sz="4"/>
          <w:insideV w:val="single" w:color="auto" w:sz="4"/>
        </w:tblBorders>
      </w:tblPr>
      <w:tblGrid>
        <w:gridCol w:w="2400"/>
        <w:gridCol w:w="2317"/>
        <w:gridCol w:w="2317"/>
        <w:gridCol w:w="2317"/>
      </w:tblGrid>
      <w:tr>
        <w:trPr>
          <w:tblHeader/>
        </w:trPr>
        <w:tc>
          <w:tcPr>
            <w:tcW w:type="dxa" w:w="2400"/>
            <w:shd w:fill="1F3864" w:val="clear"/>
            <w:tcMar>
              <w:top w:type="dxa" w:w="80"/>
              <w:left w:type="dxa" w:w="100"/>
              <w:bottom w:type="dxa" w:w="80"/>
              <w:right w:type="dxa" w:w="100"/>
            </w:tcMar>
            <w:vAlign w:val="center"/>
          </w:tcPr>
          <w:p>
            <w:pPr>
              <w:jc w:val="center"/>
            </w:pPr>
            <w:r>
              <w:rPr>
                <w:b/>
                <w:bCs/>
                <w:i w:val="false"/>
                <w:iCs w:val="false"/>
                <w:color w:val="FFFFFF"/>
              </w:rPr>
              <w:t xml:space="preserve">Criterio</w:t>
            </w:r>
          </w:p>
        </w:tc>
        <w:tc>
          <w:tcPr>
            <w:tcW w:type="dxa" w:w="2317"/>
            <w:shd w:fill="1F3864" w:val="clear"/>
            <w:tcMar>
              <w:top w:type="dxa" w:w="80"/>
              <w:left w:type="dxa" w:w="100"/>
              <w:bottom w:type="dxa" w:w="80"/>
              <w:right w:type="dxa" w:w="100"/>
            </w:tcMar>
            <w:vAlign w:val="center"/>
          </w:tcPr>
          <w:p>
            <w:pPr>
              <w:jc w:val="center"/>
            </w:pPr>
            <w:r>
              <w:rPr>
                <w:b/>
                <w:bCs/>
                <w:i w:val="false"/>
                <w:iCs w:val="false"/>
                <w:color w:val="FFFFFF"/>
              </w:rPr>
              <w:t xml:space="preserve">Cascada</w:t>
            </w:r>
          </w:p>
        </w:tc>
        <w:tc>
          <w:tcPr>
            <w:tcW w:type="dxa" w:w="2317"/>
            <w:shd w:fill="1F3864" w:val="clear"/>
            <w:tcMar>
              <w:top w:type="dxa" w:w="80"/>
              <w:left w:type="dxa" w:w="100"/>
              <w:bottom w:type="dxa" w:w="80"/>
              <w:right w:type="dxa" w:w="100"/>
            </w:tcMar>
            <w:vAlign w:val="center"/>
          </w:tcPr>
          <w:p>
            <w:pPr>
              <w:jc w:val="center"/>
            </w:pPr>
            <w:r>
              <w:rPr>
                <w:b/>
                <w:bCs/>
                <w:i w:val="false"/>
                <w:iCs w:val="false"/>
                <w:color w:val="FFFFFF"/>
              </w:rPr>
              <w:t xml:space="preserve">Incremental</w:t>
            </w:r>
          </w:p>
        </w:tc>
        <w:tc>
          <w:tcPr>
            <w:tcW w:type="dxa" w:w="2317"/>
            <w:shd w:fill="1F3864" w:val="clear"/>
            <w:tcMar>
              <w:top w:type="dxa" w:w="80"/>
              <w:left w:type="dxa" w:w="100"/>
              <w:bottom w:type="dxa" w:w="80"/>
              <w:right w:type="dxa" w:w="100"/>
            </w:tcMar>
            <w:vAlign w:val="center"/>
          </w:tcPr>
          <w:p>
            <w:pPr>
              <w:jc w:val="center"/>
            </w:pPr>
            <w:r>
              <w:rPr>
                <w:b/>
                <w:bCs/>
                <w:i w:val="false"/>
                <w:iCs w:val="false"/>
                <w:color w:val="FFFFFF"/>
              </w:rPr>
              <w:t xml:space="preserve">Espiral</w:t>
            </w:r>
          </w:p>
        </w:tc>
      </w:tr>
      <w:tr>
        <w:tc>
          <w:tcPr>
            <w:tcMar>
              <w:top w:type="dxa" w:w="80"/>
              <w:left w:type="dxa" w:w="100"/>
              <w:bottom w:type="dxa" w:w="80"/>
              <w:right w:type="dxa" w:w="100"/>
            </w:tcMar>
            <w:vAlign w:val="center"/>
          </w:tcPr>
          <w:p>
            <w:pPr>
              <w:jc w:val="left"/>
            </w:pPr>
            <w:r>
              <w:rPr>
                <w:b/>
                <w:bCs/>
                <w:i w:val="false"/>
                <w:iCs w:val="false"/>
                <w:color w:val="000000"/>
              </w:rPr>
              <w:t xml:space="preserve">Flexibilidad ante cambios</w:t>
            </w:r>
          </w:p>
        </w:tc>
        <w:tc>
          <w:tcPr>
            <w:tcMar>
              <w:top w:type="dxa" w:w="80"/>
              <w:left w:type="dxa" w:w="100"/>
              <w:bottom w:type="dxa" w:w="80"/>
              <w:right w:type="dxa" w:w="100"/>
            </w:tcMar>
            <w:vAlign w:val="center"/>
          </w:tcPr>
          <w:p>
            <w:pPr>
              <w:jc w:val="left"/>
            </w:pPr>
            <w:r>
              <w:rPr>
                <w:b w:val="false"/>
                <w:bCs w:val="false"/>
                <w:i w:val="false"/>
                <w:iCs w:val="false"/>
                <w:color w:val="000000"/>
              </w:rPr>
              <w:t xml:space="preserve">Baja: los requisitos se congelan al inicio y un cambio obliga a rehacer fases.</w:t>
            </w:r>
          </w:p>
        </w:tc>
        <w:tc>
          <w:tcPr>
            <w:tcMar>
              <w:top w:type="dxa" w:w="80"/>
              <w:left w:type="dxa" w:w="100"/>
              <w:bottom w:type="dxa" w:w="80"/>
              <w:right w:type="dxa" w:w="100"/>
            </w:tcMar>
            <w:vAlign w:val="center"/>
          </w:tcPr>
          <w:p>
            <w:pPr>
              <w:jc w:val="left"/>
            </w:pPr>
            <w:r>
              <w:rPr>
                <w:b w:val="false"/>
                <w:bCs w:val="false"/>
                <w:i w:val="false"/>
                <w:iCs w:val="false"/>
                <w:color w:val="000000"/>
              </w:rPr>
              <w:t xml:space="preserve">Media-alta: cada incremento puede absorber ajustes sin detener todo el proyecto.</w:t>
            </w:r>
          </w:p>
        </w:tc>
        <w:tc>
          <w:tcPr>
            <w:tcMar>
              <w:top w:type="dxa" w:w="80"/>
              <w:left w:type="dxa" w:w="100"/>
              <w:bottom w:type="dxa" w:w="80"/>
              <w:right w:type="dxa" w:w="100"/>
            </w:tcMar>
            <w:vAlign w:val="center"/>
          </w:tcPr>
          <w:p>
            <w:pPr>
              <w:jc w:val="left"/>
            </w:pPr>
            <w:r>
              <w:rPr>
                <w:b w:val="false"/>
                <w:bCs w:val="false"/>
                <w:i w:val="false"/>
                <w:iCs w:val="false"/>
                <w:color w:val="000000"/>
              </w:rPr>
              <w:t xml:space="preserve">Alta: cada iteración reevalúa riesgos y permite redefinir requisitos.</w:t>
            </w:r>
          </w:p>
        </w:tc>
      </w:tr>
      <w:tr>
        <w:tc>
          <w:tcPr>
            <w:tcMar>
              <w:top w:type="dxa" w:w="80"/>
              <w:left w:type="dxa" w:w="100"/>
              <w:bottom w:type="dxa" w:w="80"/>
              <w:right w:type="dxa" w:w="100"/>
            </w:tcMar>
            <w:vAlign w:val="center"/>
          </w:tcPr>
          <w:p>
            <w:pPr>
              <w:jc w:val="left"/>
            </w:pPr>
            <w:r>
              <w:rPr>
                <w:b/>
                <w:bCs/>
                <w:i w:val="false"/>
                <w:iCs w:val="false"/>
                <w:color w:val="000000"/>
              </w:rPr>
              <w:t xml:space="preserve">Forma de entrega al cliente</w:t>
            </w:r>
          </w:p>
        </w:tc>
        <w:tc>
          <w:tcPr>
            <w:tcMar>
              <w:top w:type="dxa" w:w="80"/>
              <w:left w:type="dxa" w:w="100"/>
              <w:bottom w:type="dxa" w:w="80"/>
              <w:right w:type="dxa" w:w="100"/>
            </w:tcMar>
            <w:vAlign w:val="center"/>
          </w:tcPr>
          <w:p>
            <w:pPr>
              <w:jc w:val="left"/>
            </w:pPr>
            <w:r>
              <w:rPr>
                <w:b w:val="false"/>
                <w:bCs w:val="false"/>
                <w:i w:val="false"/>
                <w:iCs w:val="false"/>
                <w:color w:val="000000"/>
              </w:rPr>
              <w:t xml:space="preserve">Una sola entrega al final del proyecto.</w:t>
            </w:r>
          </w:p>
        </w:tc>
        <w:tc>
          <w:tcPr>
            <w:tcMar>
              <w:top w:type="dxa" w:w="80"/>
              <w:left w:type="dxa" w:w="100"/>
              <w:bottom w:type="dxa" w:w="80"/>
              <w:right w:type="dxa" w:w="100"/>
            </w:tcMar>
            <w:vAlign w:val="center"/>
          </w:tcPr>
          <w:p>
            <w:pPr>
              <w:jc w:val="left"/>
            </w:pPr>
            <w:r>
              <w:rPr>
                <w:b w:val="false"/>
                <w:bCs w:val="false"/>
                <w:i w:val="false"/>
                <w:iCs w:val="false"/>
                <w:color w:val="000000"/>
              </w:rPr>
              <w:t xml:space="preserve">Entregas parciales y funcionales al cierre de cada incremento.</w:t>
            </w:r>
          </w:p>
        </w:tc>
        <w:tc>
          <w:tcPr>
            <w:tcMar>
              <w:top w:type="dxa" w:w="80"/>
              <w:left w:type="dxa" w:w="100"/>
              <w:bottom w:type="dxa" w:w="80"/>
              <w:right w:type="dxa" w:w="100"/>
            </w:tcMar>
            <w:vAlign w:val="center"/>
          </w:tcPr>
          <w:p>
            <w:pPr>
              <w:jc w:val="left"/>
            </w:pPr>
            <w:r>
              <w:rPr>
                <w:b w:val="false"/>
                <w:bCs w:val="false"/>
                <w:i w:val="false"/>
                <w:iCs w:val="false"/>
                <w:color w:val="000000"/>
              </w:rPr>
              <w:t xml:space="preserve">Entregas iterativas centradas en mitigar el riesgo más alto de cada ciclo.</w:t>
            </w:r>
          </w:p>
        </w:tc>
      </w:tr>
      <w:tr>
        <w:tc>
          <w:tcPr>
            <w:tcMar>
              <w:top w:type="dxa" w:w="80"/>
              <w:left w:type="dxa" w:w="100"/>
              <w:bottom w:type="dxa" w:w="80"/>
              <w:right w:type="dxa" w:w="100"/>
            </w:tcMar>
            <w:vAlign w:val="center"/>
          </w:tcPr>
          <w:p>
            <w:pPr>
              <w:jc w:val="left"/>
            </w:pPr>
            <w:r>
              <w:rPr>
                <w:b/>
                <w:bCs/>
                <w:i w:val="false"/>
                <w:iCs w:val="false"/>
                <w:color w:val="000000"/>
              </w:rPr>
              <w:t xml:space="preserve">Complejidad de gestión</w:t>
            </w:r>
          </w:p>
        </w:tc>
        <w:tc>
          <w:tcPr>
            <w:tcMar>
              <w:top w:type="dxa" w:w="80"/>
              <w:left w:type="dxa" w:w="100"/>
              <w:bottom w:type="dxa" w:w="80"/>
              <w:right w:type="dxa" w:w="100"/>
            </w:tcMar>
            <w:vAlign w:val="center"/>
          </w:tcPr>
          <w:p>
            <w:pPr>
              <w:jc w:val="left"/>
            </w:pPr>
            <w:r>
              <w:rPr>
                <w:b w:val="false"/>
                <w:bCs w:val="false"/>
                <w:i w:val="false"/>
                <w:iCs w:val="false"/>
                <w:color w:val="000000"/>
              </w:rPr>
              <w:t xml:space="preserve">Baja, pero con alto riesgo si el análisis inicial falla.</w:t>
            </w:r>
          </w:p>
        </w:tc>
        <w:tc>
          <w:tcPr>
            <w:tcMar>
              <w:top w:type="dxa" w:w="80"/>
              <w:left w:type="dxa" w:w="100"/>
              <w:bottom w:type="dxa" w:w="80"/>
              <w:right w:type="dxa" w:w="100"/>
            </w:tcMar>
            <w:vAlign w:val="center"/>
          </w:tcPr>
          <w:p>
            <w:pPr>
              <w:jc w:val="left"/>
            </w:pPr>
            <w:r>
              <w:rPr>
                <w:b w:val="false"/>
                <w:bCs w:val="false"/>
                <w:i w:val="false"/>
                <w:iCs w:val="false"/>
                <w:color w:val="000000"/>
              </w:rPr>
              <w:t xml:space="preserve">Media: requiere planear y priorizar incrementos.</w:t>
            </w:r>
          </w:p>
        </w:tc>
        <w:tc>
          <w:tcPr>
            <w:tcMar>
              <w:top w:type="dxa" w:w="80"/>
              <w:left w:type="dxa" w:w="100"/>
              <w:bottom w:type="dxa" w:w="80"/>
              <w:right w:type="dxa" w:w="100"/>
            </w:tcMar>
            <w:vAlign w:val="center"/>
          </w:tcPr>
          <w:p>
            <w:pPr>
              <w:jc w:val="left"/>
            </w:pPr>
            <w:r>
              <w:rPr>
                <w:b w:val="false"/>
                <w:bCs w:val="false"/>
                <w:i w:val="false"/>
                <w:iCs w:val="false"/>
                <w:color w:val="000000"/>
              </w:rPr>
              <w:t xml:space="preserve">Alta: exige análisis formal de riesgos en cada ciclo.</w:t>
            </w:r>
          </w:p>
        </w:tc>
      </w:tr>
      <w:tr>
        <w:tc>
          <w:tcPr>
            <w:tcMar>
              <w:top w:type="dxa" w:w="80"/>
              <w:left w:type="dxa" w:w="100"/>
              <w:bottom w:type="dxa" w:w="80"/>
              <w:right w:type="dxa" w:w="100"/>
            </w:tcMar>
            <w:vAlign w:val="center"/>
          </w:tcPr>
          <w:p>
            <w:pPr>
              <w:jc w:val="left"/>
            </w:pPr>
            <w:r>
              <w:rPr>
                <w:b/>
                <w:bCs/>
                <w:i w:val="false"/>
                <w:iCs w:val="false"/>
                <w:color w:val="000000"/>
              </w:rPr>
              <w:t xml:space="preserve">Adecuación al tiempo del semestre</w:t>
            </w:r>
          </w:p>
        </w:tc>
        <w:tc>
          <w:tcPr>
            <w:tcMar>
              <w:top w:type="dxa" w:w="80"/>
              <w:left w:type="dxa" w:w="100"/>
              <w:bottom w:type="dxa" w:w="80"/>
              <w:right w:type="dxa" w:w="100"/>
            </w:tcMar>
            <w:vAlign w:val="center"/>
          </w:tcPr>
          <w:p>
            <w:pPr>
              <w:jc w:val="left"/>
            </w:pPr>
            <w:r>
              <w:rPr>
                <w:b w:val="false"/>
                <w:bCs w:val="false"/>
                <w:i w:val="false"/>
                <w:iCs w:val="false"/>
                <w:color w:val="000000"/>
              </w:rPr>
              <w:t xml:space="preserve">Baja: el feedback del cliente llega demasiado tarde para corregir.</w:t>
            </w:r>
          </w:p>
        </w:tc>
        <w:tc>
          <w:tcPr>
            <w:tcMar>
              <w:top w:type="dxa" w:w="80"/>
              <w:left w:type="dxa" w:w="100"/>
              <w:bottom w:type="dxa" w:w="80"/>
              <w:right w:type="dxa" w:w="100"/>
            </w:tcMar>
            <w:vAlign w:val="center"/>
          </w:tcPr>
          <w:p>
            <w:pPr>
              <w:jc w:val="left"/>
            </w:pPr>
            <w:r>
              <w:rPr>
                <w:b w:val="false"/>
                <w:bCs w:val="false"/>
                <w:i w:val="false"/>
                <w:iCs w:val="false"/>
                <w:color w:val="000000"/>
              </w:rPr>
              <w:t xml:space="preserve">Alta: permite planificar avances medibles y verificables cada 2-3 semanas.</w:t>
            </w:r>
          </w:p>
        </w:tc>
        <w:tc>
          <w:tcPr>
            <w:tcMar>
              <w:top w:type="dxa" w:w="80"/>
              <w:left w:type="dxa" w:w="100"/>
              <w:bottom w:type="dxa" w:w="80"/>
              <w:right w:type="dxa" w:w="100"/>
            </w:tcMar>
            <w:vAlign w:val="center"/>
          </w:tcPr>
          <w:p>
            <w:pPr>
              <w:jc w:val="left"/>
            </w:pPr>
            <w:r>
              <w:rPr>
                <w:b w:val="false"/>
                <w:bCs w:val="false"/>
                <w:i w:val="false"/>
                <w:iCs w:val="false"/>
                <w:color w:val="000000"/>
              </w:rPr>
              <w:t xml:space="preserve">Baja: requiere más tiempo y experiencia en gestión de riesgos de la que dispone el equipo.</w:t>
            </w:r>
          </w:p>
        </w:tc>
      </w:tr>
    </w:tbl>
    <w:p>
      <w:pPr>
        <w:spacing w:after="160"/>
      </w:pPr>
    </w:p>
    <w:p>
      <w:pPr>
        <w:pStyle w:val="Heading2"/>
        <w:spacing w:after="120" w:before="240"/>
      </w:pPr>
      <w:r>
        <w:t xml:space="preserve">2.2 Modelo seleccionado y justificación</w:t>
      </w:r>
    </w:p>
    <w:p>
      <w:pPr>
        <w:spacing w:after="160"/>
        <w:jc w:val="both"/>
      </w:pPr>
      <w:r>
        <w:t xml:space="preserve">El equipo selecciona el modelo incremental. La comparación anterior muestra que es el que mejor equilibra flexibilidad ante cambios y viabilidad dentro del tiempo limitado del semestre: permite dividir el sistema bancario de FINTEC en incrementos verificables (registro y autenticación; gestión de cuenta, bolsillos y transferencias; módulo administrativo y contable; notificaciones y reportes), entregando en cada uno funcionalidad utilizable y retroalimentación temprana del cliente, sin la sobrecarga de gestión de riesgos que exige el modelo espiral.</w:t>
      </w:r>
    </w:p>
    <w:p>
      <w:pPr>
        <w:pStyle w:val="Heading2"/>
        <w:spacing w:after="120" w:before="240"/>
      </w:pPr>
      <w:r>
        <w:t xml:space="preserve">2.3 Gestión de cambios</w:t>
      </w:r>
    </w:p>
    <w:p>
      <w:pPr>
        <w:spacing w:after="160"/>
        <w:jc w:val="both"/>
      </w:pPr>
      <w:r>
        <w:t xml:space="preserve">El equipo define el siguiente procedimiento de control de cambios, aplicable a cualquier ajuste solicitado por el cliente después del cierre de un incremento:</w:t>
      </w:r>
    </w:p>
    <w:p>
      <w:pPr>
        <w:pStyle w:val="ListParagraph"/>
        <w:numPr>
          <w:ilvl w:val="0"/>
          <w:numId w:val="1"/>
        </w:numPr>
        <w:spacing w:after="80"/>
      </w:pPr>
      <w:r>
        <w:t xml:space="preserve">El cambio se documenta en una solicitud escrita que incluye: fecha, requisito o módulo afectado, descripción, justificación del cliente e impacto estimado en tiempo.</w:t>
      </w:r>
    </w:p>
    <w:p>
      <w:pPr>
        <w:pStyle w:val="ListParagraph"/>
        <w:numPr>
          <w:ilvl w:val="0"/>
          <w:numId w:val="1"/>
        </w:numPr>
        <w:spacing w:after="80"/>
      </w:pPr>
      <w:r>
        <w:t xml:space="preserve">El equipo revisa la solicitud y determina si el cambio se puede incorporar sin afectar el incremento en curso.</w:t>
      </w:r>
    </w:p>
    <w:p>
      <w:pPr>
        <w:pStyle w:val="ListParagraph"/>
        <w:numPr>
          <w:ilvl w:val="0"/>
          <w:numId w:val="1"/>
        </w:numPr>
        <w:spacing w:after="80"/>
      </w:pPr>
      <w:r>
        <w:t xml:space="preserve">Si se aprueba, el cambio se programa para el siguiente incremento de la planificación; si se rechaza o se aplaza, se informa al cliente el motivo.</w:t>
      </w:r>
    </w:p>
    <w:p>
      <w:pPr>
        <w:pStyle w:val="ListParagraph"/>
        <w:numPr>
          <w:ilvl w:val="0"/>
          <w:numId w:val="1"/>
        </w:numPr>
        <w:spacing w:after="80"/>
      </w:pPr>
      <w:r>
        <w:t xml:space="preserve">Todo cambio aprobado actualiza este documento (nueva versión) y la matriz de trazabilidad de la sección 8.</w:t>
      </w:r>
    </w:p>
    <w:p>
      <w:pPr>
        <w:pStyle w:val="Heading1"/>
        <w:spacing w:after="160" w:before="320"/>
      </w:pPr>
      <w:r>
        <w:t xml:space="preserve">3. Entrevista y Hallazgos con el Cliente</w:t>
      </w:r>
    </w:p>
    <w:p>
      <w:pPr>
        <w:spacing w:after="160"/>
        <w:jc w:val="both"/>
      </w:pPr>
      <w:r>
        <w:t xml:space="preserve">La entrevista se realizó bajo el esquema de una plantilla previamente planteada según las necesidades, apoyada en un formato generado con la herramienta de inteligencia artificial Copilot de Microsoft.</w:t>
      </w:r>
    </w:p>
    <w:p>
      <w:pPr>
        <w:spacing w:after="160"/>
        <w:jc w:val="both"/>
      </w:pPr>
      <w:r>
        <w:t xml:space="preserve">Enlace a la entrevista completa: </w:t>
      </w:r>
      <w:hyperlink w:history="1" r:id="rId4foajmmzk_6rf7qcvpodc">
        <w:r>
          <w:rPr>
            <w:rStyle w:val="Hyperlink"/>
            <w:color w:val="0563C1"/>
            <w:u w:val="single"/>
          </w:rPr>
          <w:t xml:space="preserve">ver grabación / transcripción</w:t>
        </w:r>
      </w:hyperlink>
    </w:p>
    <w:p>
      <w:pPr>
        <w:pStyle w:val="Heading2"/>
        <w:spacing w:after="120" w:before="240"/>
      </w:pPr>
      <w:r>
        <w:t xml:space="preserve">3.1 Resumen de hallazgos y su incorporación a la especificación</w:t>
      </w:r>
    </w:p>
    <w:p>
      <w:pPr>
        <w:spacing w:after="160"/>
        <w:jc w:val="both"/>
      </w:pPr>
      <w:r>
        <w:t xml:space="preserve">En la entrega anterior, parte de la información levantada en la entrevista no se tradujo a los requisitos formales. La siguiente tabla resume cada necesidad expresada por el cliente y dónde queda ahora formalizada en este documento: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50"/>
      </w:tblGrid>
      <w:tr>
        <w:trPr>
          <w:tblHeader/>
        </w:trPr>
        <w:tc>
          <w:tcPr>
            <w:tcW w:type="dxa" w:w="3000"/>
            <w:shd w:fill="1F3864" w:val="clear"/>
            <w:tcMar>
              <w:top w:type="dxa" w:w="80"/>
              <w:left w:type="dxa" w:w="100"/>
              <w:bottom w:type="dxa" w:w="80"/>
              <w:right w:type="dxa" w:w="100"/>
            </w:tcMar>
            <w:vAlign w:val="center"/>
          </w:tcPr>
          <w:p>
            <w:pPr>
              <w:jc w:val="center"/>
            </w:pPr>
            <w:r>
              <w:rPr>
                <w:b/>
                <w:bCs/>
                <w:i w:val="false"/>
                <w:iCs w:val="false"/>
                <w:color w:val="FFFFFF"/>
              </w:rPr>
              <w:t xml:space="preserve">Necesidad expresada por el cliente</w:t>
            </w:r>
          </w:p>
        </w:tc>
        <w:tc>
          <w:tcPr>
            <w:tcW w:type="dxa" w:w="2900"/>
            <w:shd w:fill="1F3864" w:val="clear"/>
            <w:tcMar>
              <w:top w:type="dxa" w:w="80"/>
              <w:left w:type="dxa" w:w="100"/>
              <w:bottom w:type="dxa" w:w="80"/>
              <w:right w:type="dxa" w:w="100"/>
            </w:tcMar>
            <w:vAlign w:val="center"/>
          </w:tcPr>
          <w:p>
            <w:pPr>
              <w:jc w:val="center"/>
            </w:pPr>
            <w:r>
              <w:rPr>
                <w:b/>
                <w:bCs/>
                <w:i w:val="false"/>
                <w:iCs w:val="false"/>
                <w:color w:val="FFFFFF"/>
              </w:rPr>
              <w:t xml:space="preserve">Estado en la entrega anterior</w:t>
            </w:r>
          </w:p>
        </w:tc>
        <w:tc>
          <w:tcPr>
            <w:tcW w:type="dxa" w:w="3450"/>
            <w:shd w:fill="1F3864" w:val="clear"/>
            <w:tcMar>
              <w:top w:type="dxa" w:w="80"/>
              <w:left w:type="dxa" w:w="100"/>
              <w:bottom w:type="dxa" w:w="80"/>
              <w:right w:type="dxa" w:w="100"/>
            </w:tcMar>
            <w:vAlign w:val="center"/>
          </w:tcPr>
          <w:p>
            <w:pPr>
              <w:jc w:val="center"/>
            </w:pPr>
            <w:r>
              <w:rPr>
                <w:b/>
                <w:bCs/>
                <w:i w:val="false"/>
                <w:iCs w:val="false"/>
                <w:color w:val="FFFFFF"/>
              </w:rPr>
              <w:t xml:space="preserve">Dónde queda formalizada ahora</w:t>
            </w:r>
          </w:p>
        </w:tc>
      </w:tr>
      <w:tr>
        <w:tc>
          <w:tcPr>
            <w:tcMar>
              <w:top w:type="dxa" w:w="80"/>
              <w:left w:type="dxa" w:w="100"/>
              <w:bottom w:type="dxa" w:w="80"/>
              <w:right w:type="dxa" w:w="100"/>
            </w:tcMar>
            <w:vAlign w:val="center"/>
          </w:tcPr>
          <w:p>
            <w:pPr>
              <w:jc w:val="left"/>
            </w:pPr>
            <w:r>
              <w:rPr>
                <w:b w:val="false"/>
                <w:bCs w:val="false"/>
                <w:i w:val="false"/>
                <w:iCs w:val="false"/>
                <w:color w:val="000000"/>
              </w:rPr>
              <w:t xml:space="preserve">Notificar transferencias enviadas y recibidas, y cambios de contraseña</w:t>
            </w:r>
          </w:p>
        </w:tc>
        <w:tc>
          <w:tcPr>
            <w:tcMar>
              <w:top w:type="dxa" w:w="80"/>
              <w:left w:type="dxa" w:w="100"/>
              <w:bottom w:type="dxa" w:w="80"/>
              <w:right w:type="dxa" w:w="100"/>
            </w:tcMar>
            <w:vAlign w:val="center"/>
          </w:tcPr>
          <w:p>
            <w:pPr>
              <w:jc w:val="left"/>
            </w:pPr>
            <w:r>
              <w:rPr>
                <w:b w:val="false"/>
                <w:bCs w:val="false"/>
                <w:i w:val="false"/>
                <w:iCs w:val="false"/>
                <w:color w:val="000000"/>
              </w:rPr>
              <w:t xml:space="preserve">No se tradujo a ningún requisito funcional</w:t>
            </w:r>
          </w:p>
        </w:tc>
        <w:tc>
          <w:tcPr>
            <w:tcMar>
              <w:top w:type="dxa" w:w="80"/>
              <w:left w:type="dxa" w:w="100"/>
              <w:bottom w:type="dxa" w:w="80"/>
              <w:right w:type="dxa" w:w="100"/>
            </w:tcMar>
            <w:vAlign w:val="center"/>
          </w:tcPr>
          <w:p>
            <w:pPr>
              <w:jc w:val="left"/>
            </w:pPr>
            <w:r>
              <w:rPr>
                <w:b w:val="false"/>
                <w:bCs w:val="false"/>
                <w:i w:val="false"/>
                <w:iCs w:val="false"/>
                <w:color w:val="000000"/>
              </w:rPr>
              <w:t xml:space="preserve">RF-06 (sección 6) y escenario de comportamiento asociado (sección 9)</w:t>
            </w:r>
          </w:p>
        </w:tc>
      </w:tr>
      <w:tr>
        <w:tc>
          <w:tcPr>
            <w:tcMar>
              <w:top w:type="dxa" w:w="80"/>
              <w:left w:type="dxa" w:w="100"/>
              <w:bottom w:type="dxa" w:w="80"/>
              <w:right w:type="dxa" w:w="100"/>
            </w:tcMar>
            <w:vAlign w:val="center"/>
          </w:tcPr>
          <w:p>
            <w:pPr>
              <w:jc w:val="left"/>
            </w:pPr>
            <w:r>
              <w:rPr>
                <w:b w:val="false"/>
                <w:bCs w:val="false"/>
                <w:i w:val="false"/>
                <w:iCs w:val="false"/>
                <w:color w:val="000000"/>
              </w:rPr>
              <w:t xml:space="preserve">Generar reportes descargables de movimientos</w:t>
            </w:r>
          </w:p>
        </w:tc>
        <w:tc>
          <w:tcPr>
            <w:tcMar>
              <w:top w:type="dxa" w:w="80"/>
              <w:left w:type="dxa" w:w="100"/>
              <w:bottom w:type="dxa" w:w="80"/>
              <w:right w:type="dxa" w:w="100"/>
            </w:tcMar>
            <w:vAlign w:val="center"/>
          </w:tcPr>
          <w:p>
            <w:pPr>
              <w:jc w:val="left"/>
            </w:pPr>
            <w:r>
              <w:rPr>
                <w:b w:val="false"/>
                <w:bCs w:val="false"/>
                <w:i w:val="false"/>
                <w:iCs w:val="false"/>
                <w:color w:val="000000"/>
              </w:rPr>
              <w:t xml:space="preserve">No se tradujo a ningún requisito funcional</w:t>
            </w:r>
          </w:p>
        </w:tc>
        <w:tc>
          <w:tcPr>
            <w:tcMar>
              <w:top w:type="dxa" w:w="80"/>
              <w:left w:type="dxa" w:w="100"/>
              <w:bottom w:type="dxa" w:w="80"/>
              <w:right w:type="dxa" w:w="100"/>
            </w:tcMar>
            <w:vAlign w:val="center"/>
          </w:tcPr>
          <w:p>
            <w:pPr>
              <w:jc w:val="left"/>
            </w:pPr>
            <w:r>
              <w:rPr>
                <w:b w:val="false"/>
                <w:bCs w:val="false"/>
                <w:i w:val="false"/>
                <w:iCs w:val="false"/>
                <w:color w:val="000000"/>
              </w:rPr>
              <w:t xml:space="preserve">RF-07 (sección 6)</w:t>
            </w:r>
          </w:p>
        </w:tc>
      </w:tr>
      <w:tr>
        <w:tc>
          <w:tcPr>
            <w:tcMar>
              <w:top w:type="dxa" w:w="80"/>
              <w:left w:type="dxa" w:w="100"/>
              <w:bottom w:type="dxa" w:w="80"/>
              <w:right w:type="dxa" w:w="100"/>
            </w:tcMar>
            <w:vAlign w:val="center"/>
          </w:tcPr>
          <w:p>
            <w:pPr>
              <w:jc w:val="left"/>
            </w:pPr>
            <w:r>
              <w:rPr>
                <w:b w:val="false"/>
                <w:bCs w:val="false"/>
                <w:i w:val="false"/>
                <w:iCs w:val="false"/>
                <w:color w:val="000000"/>
              </w:rPr>
              <w:t xml:space="preserve">Dashboard contable con detalle de ingresos, egresos y saldos movilizados</w:t>
            </w:r>
          </w:p>
        </w:tc>
        <w:tc>
          <w:tcPr>
            <w:tcMar>
              <w:top w:type="dxa" w:w="80"/>
              <w:left w:type="dxa" w:w="100"/>
              <w:bottom w:type="dxa" w:w="80"/>
              <w:right w:type="dxa" w:w="100"/>
            </w:tcMar>
            <w:vAlign w:val="center"/>
          </w:tcPr>
          <w:p>
            <w:pPr>
              <w:jc w:val="left"/>
            </w:pPr>
            <w:r>
              <w:rPr>
                <w:b w:val="false"/>
                <w:bCs w:val="false"/>
                <w:i w:val="false"/>
                <w:iCs w:val="false"/>
                <w:color w:val="000000"/>
              </w:rPr>
              <w:t xml:space="preserve">Solo se mencionó en el rol “Contable”, sin requisito ni criterios</w:t>
            </w:r>
          </w:p>
        </w:tc>
        <w:tc>
          <w:tcPr>
            <w:tcMar>
              <w:top w:type="dxa" w:w="80"/>
              <w:left w:type="dxa" w:w="100"/>
              <w:bottom w:type="dxa" w:w="80"/>
              <w:right w:type="dxa" w:w="100"/>
            </w:tcMar>
            <w:vAlign w:val="center"/>
          </w:tcPr>
          <w:p>
            <w:pPr>
              <w:jc w:val="left"/>
            </w:pPr>
            <w:r>
              <w:rPr>
                <w:b w:val="false"/>
                <w:bCs w:val="false"/>
                <w:i w:val="false"/>
                <w:iCs w:val="false"/>
                <w:color w:val="000000"/>
              </w:rPr>
              <w:t xml:space="preserve">RF-08 (sección 6)</w:t>
            </w:r>
          </w:p>
        </w:tc>
      </w:tr>
      <w:tr>
        <w:tc>
          <w:tcPr>
            <w:tcMar>
              <w:top w:type="dxa" w:w="80"/>
              <w:left w:type="dxa" w:w="100"/>
              <w:bottom w:type="dxa" w:w="80"/>
              <w:right w:type="dxa" w:w="100"/>
            </w:tcMar>
            <w:vAlign w:val="center"/>
          </w:tcPr>
          <w:p>
            <w:pPr>
              <w:jc w:val="left"/>
            </w:pPr>
            <w:r>
              <w:rPr>
                <w:b w:val="false"/>
                <w:bCs w:val="false"/>
                <w:i w:val="false"/>
                <w:iCs w:val="false"/>
                <w:color w:val="000000"/>
              </w:rPr>
              <w:t xml:space="preserve">Roles usuario / administrador / contable con permisos diferenciados</w:t>
            </w:r>
          </w:p>
        </w:tc>
        <w:tc>
          <w:tcPr>
            <w:tcMar>
              <w:top w:type="dxa" w:w="80"/>
              <w:left w:type="dxa" w:w="100"/>
              <w:bottom w:type="dxa" w:w="80"/>
              <w:right w:type="dxa" w:w="100"/>
            </w:tcMar>
            <w:vAlign w:val="center"/>
          </w:tcPr>
          <w:p>
            <w:pPr>
              <w:jc w:val="left"/>
            </w:pPr>
            <w:r>
              <w:rPr>
                <w:b w:val="false"/>
                <w:bCs w:val="false"/>
                <w:i w:val="false"/>
                <w:iCs w:val="false"/>
                <w:color w:val="000000"/>
              </w:rPr>
              <w:t xml:space="preserve">Descrito en la tabla de roles</w:t>
            </w:r>
          </w:p>
        </w:tc>
        <w:tc>
          <w:tcPr>
            <w:tcMar>
              <w:top w:type="dxa" w:w="80"/>
              <w:left w:type="dxa" w:w="100"/>
              <w:bottom w:type="dxa" w:w="80"/>
              <w:right w:type="dxa" w:w="100"/>
            </w:tcMar>
            <w:vAlign w:val="center"/>
          </w:tcPr>
          <w:p>
            <w:pPr>
              <w:jc w:val="left"/>
            </w:pPr>
            <w:r>
              <w:rPr>
                <w:b w:val="false"/>
                <w:bCs w:val="false"/>
                <w:i w:val="false"/>
                <w:iCs w:val="false"/>
                <w:color w:val="000000"/>
              </w:rPr>
              <w:t xml:space="preserve">Sección 4 (roles) y Reglas de negocio RN-06, RN-07 (sección 5)</w:t>
            </w:r>
          </w:p>
        </w:tc>
      </w:tr>
    </w:tbl>
    <w:p>
      <w:pPr>
        <w:spacing w:after="160"/>
      </w:pPr>
    </w:p>
    <w:p>
      <w:pPr>
        <w:pStyle w:val="Heading1"/>
        <w:spacing w:after="160" w:before="320"/>
      </w:pPr>
      <w:r>
        <w:t xml:space="preserve">4. Alcance y Roles</w:t>
      </w:r>
    </w:p>
    <w:p>
      <w:pPr>
        <w:pStyle w:val="Heading2"/>
        <w:spacing w:after="120" w:before="240"/>
      </w:pPr>
      <w:r>
        <w:t xml:space="preserve">4.1 Alcance</w:t>
      </w:r>
    </w:p>
    <w:p>
      <w:pPr>
        <w:spacing w:after="160"/>
        <w:jc w:val="both"/>
      </w:pPr>
      <w:r>
        <w:t xml:space="preserve">De la entrevista se plantea el desarrollo de un prototipo funcional de una plataforma únicamente web. El objetivo principal es permitir la gestión de transacciones y movimientos de dinero bancarios para múltiples usuarios, incluyendo el envío de notificaciones sobre la actividad de la cuenta, la generación de reportes descargables y un dashboard contable detallado para el rol financiero. El sistema debe soportar tres perfiles o roles: usuario, administrador y contable.</w:t>
      </w:r>
    </w:p>
    <w:p>
      <w:pPr>
        <w:pStyle w:val="Heading2"/>
        <w:spacing w:after="120" w:before="240"/>
      </w:pPr>
      <w:r>
        <w:t xml:space="preserve">4.2 Roles y perfiles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3864" w:val="clear"/>
            <w:tcMar>
              <w:top w:type="dxa" w:w="80"/>
              <w:left w:type="dxa" w:w="100"/>
              <w:bottom w:type="dxa" w:w="80"/>
              <w:right w:type="dxa" w:w="100"/>
            </w:tcMar>
            <w:vAlign w:val="center"/>
          </w:tcPr>
          <w:p>
            <w:pPr>
              <w:jc w:val="center"/>
            </w:pPr>
            <w:r>
              <w:rPr>
                <w:b/>
                <w:bCs/>
                <w:i w:val="false"/>
                <w:iCs w:val="false"/>
                <w:color w:val="FFFFFF"/>
              </w:rPr>
              <w:t xml:space="preserve">Rol</w:t>
            </w:r>
          </w:p>
        </w:tc>
        <w:tc>
          <w:tcPr>
            <w:tcW w:type="dxa" w:w="7550"/>
            <w:shd w:fill="1F3864" w:val="clear"/>
            <w:tcMar>
              <w:top w:type="dxa" w:w="80"/>
              <w:left w:type="dxa" w:w="100"/>
              <w:bottom w:type="dxa" w:w="80"/>
              <w:right w:type="dxa" w:w="100"/>
            </w:tcMar>
            <w:vAlign w:val="center"/>
          </w:tcPr>
          <w:p>
            <w:pPr>
              <w:jc w:val="center"/>
            </w:pPr>
            <w:r>
              <w:rPr>
                <w:b/>
                <w:bCs/>
                <w:i w:val="false"/>
                <w:iCs w:val="false"/>
                <w:color w:val="FFFFFF"/>
              </w:rPr>
              <w:t xml:space="preserve">Perfil</w:t>
            </w:r>
          </w:p>
        </w:tc>
      </w:tr>
      <w:tr>
        <w:tc>
          <w:tcPr>
            <w:tcMar>
              <w:top w:type="dxa" w:w="80"/>
              <w:left w:type="dxa" w:w="100"/>
              <w:bottom w:type="dxa" w:w="80"/>
              <w:right w:type="dxa" w:w="100"/>
            </w:tcMar>
            <w:vAlign w:val="center"/>
          </w:tcPr>
          <w:p>
            <w:pPr>
              <w:jc w:val="left"/>
            </w:pPr>
            <w:r>
              <w:rPr>
                <w:b/>
                <w:bCs/>
                <w:i w:val="false"/>
                <w:iCs w:val="false"/>
                <w:color w:val="000000"/>
              </w:rPr>
              <w:t xml:space="preserve">Usuario</w:t>
            </w:r>
          </w:p>
        </w:tc>
        <w:tc>
          <w:tcPr>
            <w:tcMar>
              <w:top w:type="dxa" w:w="80"/>
              <w:left w:type="dxa" w:w="100"/>
              <w:bottom w:type="dxa" w:w="80"/>
              <w:right w:type="dxa" w:w="100"/>
            </w:tcMar>
            <w:vAlign w:val="center"/>
          </w:tcPr>
          <w:p>
            <w:pPr>
              <w:jc w:val="left"/>
            </w:pPr>
            <w:r>
              <w:rPr>
                <w:b w:val="false"/>
                <w:bCs w:val="false"/>
                <w:i w:val="false"/>
                <w:iCs w:val="false"/>
                <w:color w:val="000000"/>
              </w:rPr>
              <w:t xml:space="preserve">Autogestionar su cuenta de ahorros, realizar transferencias, recibir dinero, efectuar pagos, administrar sus bolsillos de dinero, consultar sus movimientos, recibir notificaciones de actividad y descargar reportes de sus movimientos.</w:t>
            </w:r>
          </w:p>
        </w:tc>
      </w:tr>
      <w:tr>
        <w:tc>
          <w:tcPr>
            <w:tcMar>
              <w:top w:type="dxa" w:w="80"/>
              <w:left w:type="dxa" w:w="100"/>
              <w:bottom w:type="dxa" w:w="80"/>
              <w:right w:type="dxa" w:w="100"/>
            </w:tcMar>
            <w:vAlign w:val="center"/>
          </w:tcPr>
          <w:p>
            <w:pPr>
              <w:jc w:val="left"/>
            </w:pPr>
            <w:r>
              <w:rPr>
                <w:b/>
                <w:bCs/>
                <w:i w:val="false"/>
                <w:iCs w:val="false"/>
                <w:color w:val="000000"/>
              </w:rPr>
              <w:t xml:space="preserve">Administrador</w:t>
            </w:r>
          </w:p>
        </w:tc>
        <w:tc>
          <w:tcPr>
            <w:tcMar>
              <w:top w:type="dxa" w:w="80"/>
              <w:left w:type="dxa" w:w="100"/>
              <w:bottom w:type="dxa" w:w="80"/>
              <w:right w:type="dxa" w:w="100"/>
            </w:tcMar>
            <w:vAlign w:val="center"/>
          </w:tcPr>
          <w:p>
            <w:pPr>
              <w:jc w:val="left"/>
            </w:pPr>
            <w:r>
              <w:rPr>
                <w:b w:val="false"/>
                <w:bCs w:val="false"/>
                <w:i w:val="false"/>
                <w:iCs w:val="false"/>
                <w:color w:val="000000"/>
              </w:rPr>
              <w:t xml:space="preserve">Supervisar la operación general del sistema, bloquear/desbloquear usuarios, buscar usuarios y consultar historial global de operaciones, gestionar el estado de las transacciones (cancelaciones y devoluciones).</w:t>
            </w:r>
          </w:p>
        </w:tc>
      </w:tr>
      <w:tr>
        <w:tc>
          <w:tcPr>
            <w:tcMar>
              <w:top w:type="dxa" w:w="80"/>
              <w:left w:type="dxa" w:w="100"/>
              <w:bottom w:type="dxa" w:w="80"/>
              <w:right w:type="dxa" w:w="100"/>
            </w:tcMar>
            <w:vAlign w:val="center"/>
          </w:tcPr>
          <w:p>
            <w:pPr>
              <w:jc w:val="left"/>
            </w:pPr>
            <w:r>
              <w:rPr>
                <w:b/>
                <w:bCs/>
                <w:i w:val="false"/>
                <w:iCs w:val="false"/>
                <w:color w:val="000000"/>
              </w:rPr>
              <w:t xml:space="preserve">Contable</w:t>
            </w:r>
          </w:p>
        </w:tc>
        <w:tc>
          <w:tcPr>
            <w:tcMar>
              <w:top w:type="dxa" w:w="80"/>
              <w:left w:type="dxa" w:w="100"/>
              <w:bottom w:type="dxa" w:w="80"/>
              <w:right w:type="dxa" w:w="100"/>
            </w:tcMar>
            <w:vAlign w:val="center"/>
          </w:tcPr>
          <w:p>
            <w:pPr>
              <w:jc w:val="left"/>
            </w:pPr>
            <w:r>
              <w:rPr>
                <w:b w:val="false"/>
                <w:bCs w:val="false"/>
                <w:i w:val="false"/>
                <w:iCs w:val="false"/>
                <w:color w:val="000000"/>
              </w:rPr>
              <w:t xml:space="preserve">Monitorear el flujo financiero global (ingresos, salidas, saldos movilizados) a través de un dashboard contable detallado y filtrable por periodo, y descargar reportes financieros.</w:t>
            </w:r>
          </w:p>
        </w:tc>
      </w:tr>
    </w:tbl>
    <w:p>
      <w:pPr>
        <w:spacing w:after="160"/>
      </w:pPr>
    </w:p>
    <w:p>
      <w:pPr>
        <w:pStyle w:val="Heading1"/>
        <w:spacing w:after="160" w:before="320"/>
      </w:pPr>
      <w:r>
        <w:t xml:space="preserve">5. Reglas de Negocio</w:t>
      </w:r>
    </w:p>
    <w:p>
      <w:pPr>
        <w:spacing w:after="160"/>
        <w:jc w:val="both"/>
      </w:pPr>
      <w:r>
        <w:t xml:space="preserve">Las siguientes reglas de negocio complementan los requisitos funcionales y no dependen de una interfaz específica; deben cumplirse en cualquier punto donde el sistema procese dinero o cuentas.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tblHeader/>
        </w:trPr>
        <w:tc>
          <w:tcPr>
            <w:tcW w:type="dxa" w:w="1100"/>
            <w:shd w:fill="1F3864" w:val="clear"/>
            <w:tcMar>
              <w:top w:type="dxa" w:w="80"/>
              <w:left w:type="dxa" w:w="100"/>
              <w:bottom w:type="dxa" w:w="80"/>
              <w:right w:type="dxa" w:w="100"/>
            </w:tcMar>
            <w:vAlign w:val="center"/>
          </w:tcPr>
          <w:p>
            <w:pPr>
              <w:jc w:val="center"/>
            </w:pPr>
            <w:r>
              <w:rPr>
                <w:b/>
                <w:bCs/>
                <w:i w:val="false"/>
                <w:iCs w:val="false"/>
                <w:color w:val="FFFFFF"/>
              </w:rPr>
              <w:t xml:space="preserve">ID</w:t>
            </w:r>
          </w:p>
        </w:tc>
        <w:tc>
          <w:tcPr>
            <w:tcW w:type="dxa" w:w="8250"/>
            <w:shd w:fill="1F3864" w:val="clear"/>
            <w:tcMar>
              <w:top w:type="dxa" w:w="80"/>
              <w:left w:type="dxa" w:w="100"/>
              <w:bottom w:type="dxa" w:w="80"/>
              <w:right w:type="dxa" w:w="100"/>
            </w:tcMar>
            <w:vAlign w:val="center"/>
          </w:tcPr>
          <w:p>
            <w:pPr>
              <w:jc w:val="center"/>
            </w:pPr>
            <w:r>
              <w:rPr>
                <w:b/>
                <w:bCs/>
                <w:i w:val="false"/>
                <w:iCs w:val="false"/>
                <w:color w:val="FFFFFF"/>
              </w:rPr>
              <w:t xml:space="preserve">Regla</w:t>
            </w:r>
          </w:p>
        </w:tc>
      </w:tr>
      <w:tr>
        <w:tc>
          <w:tcPr>
            <w:tcMar>
              <w:top w:type="dxa" w:w="80"/>
              <w:left w:type="dxa" w:w="100"/>
              <w:bottom w:type="dxa" w:w="80"/>
              <w:right w:type="dxa" w:w="100"/>
            </w:tcMar>
            <w:vAlign w:val="center"/>
          </w:tcPr>
          <w:p>
            <w:pPr>
              <w:jc w:val="left"/>
            </w:pPr>
            <w:r>
              <w:rPr>
                <w:b/>
                <w:bCs/>
                <w:i w:val="false"/>
                <w:iCs w:val="false"/>
                <w:color w:val="000000"/>
              </w:rPr>
              <w:t xml:space="preserve">RN-01</w:t>
            </w:r>
          </w:p>
        </w:tc>
        <w:tc>
          <w:tcPr>
            <w:tcMar>
              <w:top w:type="dxa" w:w="80"/>
              <w:left w:type="dxa" w:w="100"/>
              <w:bottom w:type="dxa" w:w="80"/>
              <w:right w:type="dxa" w:w="100"/>
            </w:tcMar>
            <w:vAlign w:val="center"/>
          </w:tcPr>
          <w:p>
            <w:pPr>
              <w:jc w:val="left"/>
            </w:pPr>
            <w:r>
              <w:rPr>
                <w:b w:val="false"/>
                <w:bCs w:val="false"/>
                <w:i w:val="false"/>
                <w:iCs w:val="false"/>
                <w:color w:val="000000"/>
              </w:rPr>
              <w:t xml:space="preserve">El saldo disponible de una cuenta no puede quedar en negativo como resultado de una transferencia o un pago.</w:t>
            </w:r>
          </w:p>
        </w:tc>
      </w:tr>
      <w:tr>
        <w:tc>
          <w:tcPr>
            <w:tcMar>
              <w:top w:type="dxa" w:w="80"/>
              <w:left w:type="dxa" w:w="100"/>
              <w:bottom w:type="dxa" w:w="80"/>
              <w:right w:type="dxa" w:w="100"/>
            </w:tcMar>
            <w:vAlign w:val="center"/>
          </w:tcPr>
          <w:p>
            <w:pPr>
              <w:jc w:val="left"/>
            </w:pPr>
            <w:r>
              <w:rPr>
                <w:b/>
                <w:bCs/>
                <w:i w:val="false"/>
                <w:iCs w:val="false"/>
                <w:color w:val="000000"/>
              </w:rPr>
              <w:t xml:space="preserve">RN-02</w:t>
            </w:r>
          </w:p>
        </w:tc>
        <w:tc>
          <w:tcPr>
            <w:tcMar>
              <w:top w:type="dxa" w:w="80"/>
              <w:left w:type="dxa" w:w="100"/>
              <w:bottom w:type="dxa" w:w="80"/>
              <w:right w:type="dxa" w:w="100"/>
            </w:tcMar>
            <w:vAlign w:val="center"/>
          </w:tcPr>
          <w:p>
            <w:pPr>
              <w:jc w:val="left"/>
            </w:pPr>
            <w:r>
              <w:rPr>
                <w:b w:val="false"/>
                <w:bCs w:val="false"/>
                <w:i w:val="false"/>
                <w:iCs w:val="false"/>
                <w:color w:val="000000"/>
              </w:rPr>
              <w:t xml:space="preserve">El dinero solo puede moverse entre el saldo disponible y los bolsillos de la misma cuenta; un bolsillo no puede transferir directamente a otra cuenta sin pasar antes al saldo disponible.</w:t>
            </w:r>
          </w:p>
        </w:tc>
      </w:tr>
      <w:tr>
        <w:tc>
          <w:tcPr>
            <w:tcMar>
              <w:top w:type="dxa" w:w="80"/>
              <w:left w:type="dxa" w:w="100"/>
              <w:bottom w:type="dxa" w:w="80"/>
              <w:right w:type="dxa" w:w="100"/>
            </w:tcMar>
            <w:vAlign w:val="center"/>
          </w:tcPr>
          <w:p>
            <w:pPr>
              <w:jc w:val="left"/>
            </w:pPr>
            <w:r>
              <w:rPr>
                <w:b/>
                <w:bCs/>
                <w:i w:val="false"/>
                <w:iCs w:val="false"/>
                <w:color w:val="000000"/>
              </w:rPr>
              <w:t xml:space="preserve">RN-03</w:t>
            </w:r>
          </w:p>
        </w:tc>
        <w:tc>
          <w:tcPr>
            <w:tcMar>
              <w:top w:type="dxa" w:w="80"/>
              <w:left w:type="dxa" w:w="100"/>
              <w:bottom w:type="dxa" w:w="80"/>
              <w:right w:type="dxa" w:w="100"/>
            </w:tcMar>
            <w:vAlign w:val="center"/>
          </w:tcPr>
          <w:p>
            <w:pPr>
              <w:jc w:val="left"/>
            </w:pPr>
            <w:r>
              <w:rPr>
                <w:b w:val="false"/>
                <w:bCs w:val="false"/>
                <w:i w:val="false"/>
                <w:iCs w:val="false"/>
                <w:color w:val="000000"/>
              </w:rPr>
              <w:t xml:space="preserve">Toda transacción rechazada o cancelada debe registrar el motivo y no debe afectar los saldos de origen ni destino.</w:t>
            </w:r>
          </w:p>
        </w:tc>
      </w:tr>
      <w:tr>
        <w:tc>
          <w:tcPr>
            <w:tcMar>
              <w:top w:type="dxa" w:w="80"/>
              <w:left w:type="dxa" w:w="100"/>
              <w:bottom w:type="dxa" w:w="80"/>
              <w:right w:type="dxa" w:w="100"/>
            </w:tcMar>
            <w:vAlign w:val="center"/>
          </w:tcPr>
          <w:p>
            <w:pPr>
              <w:jc w:val="left"/>
            </w:pPr>
            <w:r>
              <w:rPr>
                <w:b/>
                <w:bCs/>
                <w:i w:val="false"/>
                <w:iCs w:val="false"/>
                <w:color w:val="000000"/>
              </w:rPr>
              <w:t xml:space="preserve">RN-04</w:t>
            </w:r>
          </w:p>
        </w:tc>
        <w:tc>
          <w:tcPr>
            <w:tcMar>
              <w:top w:type="dxa" w:w="80"/>
              <w:left w:type="dxa" w:w="100"/>
              <w:bottom w:type="dxa" w:w="80"/>
              <w:right w:type="dxa" w:w="100"/>
            </w:tcMar>
            <w:vAlign w:val="center"/>
          </w:tcPr>
          <w:p>
            <w:pPr>
              <w:jc w:val="left"/>
            </w:pPr>
            <w:r>
              <w:rPr>
                <w:b w:val="false"/>
                <w:bCs w:val="false"/>
                <w:i w:val="false"/>
                <w:iCs w:val="false"/>
                <w:color w:val="000000"/>
              </w:rPr>
              <w:t xml:space="preserve">El administrador no puede modificar directamente los saldos de un usuario; solo puede autorizar la devolución o cancelación de un movimiento ya existente.</w:t>
            </w:r>
          </w:p>
        </w:tc>
      </w:tr>
      <w:tr>
        <w:tc>
          <w:tcPr>
            <w:tcMar>
              <w:top w:type="dxa" w:w="80"/>
              <w:left w:type="dxa" w:w="100"/>
              <w:bottom w:type="dxa" w:w="80"/>
              <w:right w:type="dxa" w:w="100"/>
            </w:tcMar>
            <w:vAlign w:val="center"/>
          </w:tcPr>
          <w:p>
            <w:pPr>
              <w:jc w:val="left"/>
            </w:pPr>
            <w:r>
              <w:rPr>
                <w:b/>
                <w:bCs/>
                <w:i w:val="false"/>
                <w:iCs w:val="false"/>
                <w:color w:val="000000"/>
              </w:rPr>
              <w:t xml:space="preserve">RN-05</w:t>
            </w:r>
          </w:p>
        </w:tc>
        <w:tc>
          <w:tcPr>
            <w:tcMar>
              <w:top w:type="dxa" w:w="80"/>
              <w:left w:type="dxa" w:w="100"/>
              <w:bottom w:type="dxa" w:w="80"/>
              <w:right w:type="dxa" w:w="100"/>
            </w:tcMar>
            <w:vAlign w:val="center"/>
          </w:tcPr>
          <w:p>
            <w:pPr>
              <w:jc w:val="left"/>
            </w:pPr>
            <w:r>
              <w:rPr>
                <w:b w:val="false"/>
                <w:bCs w:val="false"/>
                <w:i w:val="false"/>
                <w:iCs w:val="false"/>
                <w:color w:val="000000"/>
              </w:rPr>
              <w:t xml:space="preserve">Una devolución genera un nuevo movimiento de reversión enlazado al movimiento original; el movimiento original nunca se edita ni se elimina.</w:t>
            </w:r>
          </w:p>
        </w:tc>
      </w:tr>
      <w:tr>
        <w:tc>
          <w:tcPr>
            <w:tcMar>
              <w:top w:type="dxa" w:w="80"/>
              <w:left w:type="dxa" w:w="100"/>
              <w:bottom w:type="dxa" w:w="80"/>
              <w:right w:type="dxa" w:w="100"/>
            </w:tcMar>
            <w:vAlign w:val="center"/>
          </w:tcPr>
          <w:p>
            <w:pPr>
              <w:jc w:val="left"/>
            </w:pPr>
            <w:r>
              <w:rPr>
                <w:b/>
                <w:bCs/>
                <w:i w:val="false"/>
                <w:iCs w:val="false"/>
                <w:color w:val="000000"/>
              </w:rPr>
              <w:t xml:space="preserve">RN-06</w:t>
            </w:r>
          </w:p>
        </w:tc>
        <w:tc>
          <w:tcPr>
            <w:tcMar>
              <w:top w:type="dxa" w:w="80"/>
              <w:left w:type="dxa" w:w="100"/>
              <w:bottom w:type="dxa" w:w="80"/>
              <w:right w:type="dxa" w:w="100"/>
            </w:tcMar>
            <w:vAlign w:val="center"/>
          </w:tcPr>
          <w:p>
            <w:pPr>
              <w:jc w:val="left"/>
            </w:pPr>
            <w:r>
              <w:rPr>
                <w:b w:val="false"/>
                <w:bCs w:val="false"/>
                <w:i w:val="false"/>
                <w:iCs w:val="false"/>
                <w:color w:val="000000"/>
              </w:rPr>
              <w:t xml:space="preserve">El rol contable tiene acceso de solo lectura a la información financiera global; no puede crear, modificar ni cancelar transacciones.</w:t>
            </w:r>
          </w:p>
        </w:tc>
      </w:tr>
      <w:tr>
        <w:tc>
          <w:tcPr>
            <w:tcMar>
              <w:top w:type="dxa" w:w="80"/>
              <w:left w:type="dxa" w:w="100"/>
              <w:bottom w:type="dxa" w:w="80"/>
              <w:right w:type="dxa" w:w="100"/>
            </w:tcMar>
            <w:vAlign w:val="center"/>
          </w:tcPr>
          <w:p>
            <w:pPr>
              <w:jc w:val="left"/>
            </w:pPr>
            <w:r>
              <w:rPr>
                <w:b/>
                <w:bCs/>
                <w:i w:val="false"/>
                <w:iCs w:val="false"/>
                <w:color w:val="000000"/>
              </w:rPr>
              <w:t xml:space="preserve">RN-07</w:t>
            </w:r>
          </w:p>
        </w:tc>
        <w:tc>
          <w:tcPr>
            <w:tcMar>
              <w:top w:type="dxa" w:w="80"/>
              <w:left w:type="dxa" w:w="100"/>
              <w:bottom w:type="dxa" w:w="80"/>
              <w:right w:type="dxa" w:w="100"/>
            </w:tcMar>
            <w:vAlign w:val="center"/>
          </w:tcPr>
          <w:p>
            <w:pPr>
              <w:jc w:val="left"/>
            </w:pPr>
            <w:r>
              <w:rPr>
                <w:b w:val="false"/>
                <w:bCs w:val="false"/>
                <w:i w:val="false"/>
                <w:iCs w:val="false"/>
                <w:color w:val="000000"/>
              </w:rPr>
              <w:t xml:space="preserve">Una cuenta bloqueada por el administrador no puede iniciar sesión ni ejecutar transacciones hasta ser desbloqueada explícitamente.</w:t>
            </w:r>
          </w:p>
        </w:tc>
      </w:tr>
    </w:tbl>
    <w:p>
      <w:pPr>
        <w:spacing w:after="160"/>
      </w:pPr>
    </w:p>
    <w:p>
      <w:pPr>
        <w:pStyle w:val="Heading1"/>
        <w:spacing w:after="160" w:before="320"/>
      </w:pPr>
      <w:r>
        <w:t xml:space="preserve">6. Requisitos Funcionales (RF)</w:t>
      </w:r>
    </w:p>
    <w:p>
      <w:pPr>
        <w:spacing w:after="160"/>
        <w:jc w:val="both"/>
      </w:pPr>
      <w:r>
        <w:t xml:space="preserve">Se corrige la numeración de los criterios de aceptación (en la entrega anterior saltaba de CA-02 a CA-04) y se añaden los requisitos que la entrevista había levantado y no se habían formalizado (RF-06, RF-07 y RF-08).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50"/>
      </w:tblGrid>
      <w:tr>
        <w:trPr>
          <w:tblHeader/>
        </w:trPr>
        <w:tc>
          <w:tcPr>
            <w:tcW w:type="dxa" w:w="700"/>
            <w:shd w:fill="1F3864" w:val="clear"/>
            <w:tcMar>
              <w:top w:type="dxa" w:w="80"/>
              <w:left w:type="dxa" w:w="100"/>
              <w:bottom w:type="dxa" w:w="80"/>
              <w:right w:type="dxa" w:w="100"/>
            </w:tcMar>
            <w:vAlign w:val="center"/>
          </w:tcPr>
          <w:p>
            <w:pPr>
              <w:jc w:val="center"/>
            </w:pPr>
            <w:r>
              <w:rPr>
                <w:b/>
                <w:bCs/>
                <w:i w:val="false"/>
                <w:iCs w:val="false"/>
                <w:color w:val="FFFFFF"/>
              </w:rPr>
              <w:t xml:space="preserve">ID</w:t>
            </w:r>
          </w:p>
        </w:tc>
        <w:tc>
          <w:tcPr>
            <w:tcW w:type="dxa" w:w="2900"/>
            <w:shd w:fill="1F3864" w:val="clear"/>
            <w:tcMar>
              <w:top w:type="dxa" w:w="80"/>
              <w:left w:type="dxa" w:w="100"/>
              <w:bottom w:type="dxa" w:w="80"/>
              <w:right w:type="dxa" w:w="100"/>
            </w:tcMar>
            <w:vAlign w:val="center"/>
          </w:tcPr>
          <w:p>
            <w:pPr>
              <w:jc w:val="center"/>
            </w:pPr>
            <w:r>
              <w:rPr>
                <w:b/>
                <w:bCs/>
                <w:i w:val="false"/>
                <w:iCs w:val="false"/>
                <w:color w:val="FFFFFF"/>
              </w:rPr>
              <w:t xml:space="preserve">Descripción</w:t>
            </w:r>
          </w:p>
        </w:tc>
        <w:tc>
          <w:tcPr>
            <w:tcW w:type="dxa" w:w="5750"/>
            <w:shd w:fill="1F3864" w:val="clear"/>
            <w:tcMar>
              <w:top w:type="dxa" w:w="80"/>
              <w:left w:type="dxa" w:w="100"/>
              <w:bottom w:type="dxa" w:w="80"/>
              <w:right w:type="dxa" w:w="100"/>
            </w:tcMar>
            <w:vAlign w:val="center"/>
          </w:tcPr>
          <w:p>
            <w:pPr>
              <w:jc w:val="center"/>
            </w:pPr>
            <w:r>
              <w:rPr>
                <w:b/>
                <w:bCs/>
                <w:i w:val="false"/>
                <w:iCs w:val="false"/>
                <w:color w:val="FFFFFF"/>
              </w:rPr>
              <w:t xml:space="preserve">Criterios de aceptación verificables</w:t>
            </w:r>
          </w:p>
        </w:tc>
      </w:tr>
      <w:tr>
        <w:tc>
          <w:tcPr>
            <w:tcMar>
              <w:top w:type="dxa" w:w="80"/>
              <w:left w:type="dxa" w:w="100"/>
              <w:bottom w:type="dxa" w:w="80"/>
              <w:right w:type="dxa" w:w="100"/>
            </w:tcMar>
            <w:vAlign w:val="center"/>
          </w:tcPr>
          <w:p>
            <w:pPr>
              <w:jc w:val="left"/>
            </w:pPr>
            <w:r>
              <w:rPr>
                <w:b/>
                <w:bCs/>
                <w:i w:val="false"/>
                <w:iCs w:val="false"/>
                <w:color w:val="000000"/>
              </w:rPr>
              <w:t xml:space="preserve">RF-01</w:t>
            </w:r>
          </w:p>
        </w:tc>
        <w:tc>
          <w:tcPr>
            <w:tcMar>
              <w:top w:type="dxa" w:w="80"/>
              <w:left w:type="dxa" w:w="100"/>
              <w:bottom w:type="dxa" w:w="80"/>
              <w:right w:type="dxa" w:w="100"/>
            </w:tcMar>
            <w:vAlign w:val="center"/>
          </w:tcPr>
          <w:p>
            <w:pPr>
              <w:jc w:val="left"/>
            </w:pPr>
            <w:r>
              <w:rPr>
                <w:b w:val="false"/>
                <w:bCs w:val="false"/>
                <w:i w:val="false"/>
                <w:iCs w:val="false"/>
                <w:color w:val="000000"/>
              </w:rPr>
              <w:t xml:space="preserve">Registro de usuarios. El sistema debe permitir el registro de personas naturales solicitando: nombre completo, documento, tipo de documento, fecha de nacimiento, correo y contraseña.</w:t>
            </w:r>
          </w:p>
        </w:tc>
        <w:tc>
          <w:tcPr>
            <w:tcMar>
              <w:top w:type="dxa" w:w="80"/>
              <w:left w:type="dxa" w:w="100"/>
              <w:bottom w:type="dxa" w:w="80"/>
              <w:right w:type="dxa" w:w="100"/>
            </w:tcMar>
            <w:vAlign w:val="center"/>
          </w:tcPr>
          <w:p>
            <w:pPr>
              <w:spacing w:after="60"/>
            </w:pPr>
            <w:r>
              <w:t xml:space="preserve">CA-01.1: El sistema valida los datos requeridos e integra verificación por documento (no permite documentos duplicados).</w:t>
            </w:r>
          </w:p>
          <w:p>
            <w:r>
              <w:t xml:space="preserve">CA-01.2: La cuenta se activa automáticamente al registrarse, con saldo disponible inicial en cero.</w:t>
            </w:r>
          </w:p>
        </w:tc>
      </w:tr>
      <w:tr>
        <w:tc>
          <w:tcPr>
            <w:tcMar>
              <w:top w:type="dxa" w:w="80"/>
              <w:left w:type="dxa" w:w="100"/>
              <w:bottom w:type="dxa" w:w="80"/>
              <w:right w:type="dxa" w:w="100"/>
            </w:tcMar>
            <w:vAlign w:val="center"/>
          </w:tcPr>
          <w:p>
            <w:pPr>
              <w:jc w:val="left"/>
            </w:pPr>
            <w:r>
              <w:rPr>
                <w:b/>
                <w:bCs/>
                <w:i w:val="false"/>
                <w:iCs w:val="false"/>
                <w:color w:val="000000"/>
              </w:rPr>
              <w:t xml:space="preserve">RF-02</w:t>
            </w:r>
          </w:p>
        </w:tc>
        <w:tc>
          <w:tcPr>
            <w:tcMar>
              <w:top w:type="dxa" w:w="80"/>
              <w:left w:type="dxa" w:w="100"/>
              <w:bottom w:type="dxa" w:w="80"/>
              <w:right w:type="dxa" w:w="100"/>
            </w:tcMar>
            <w:vAlign w:val="center"/>
          </w:tcPr>
          <w:p>
            <w:pPr>
              <w:jc w:val="left"/>
            </w:pPr>
            <w:r>
              <w:rPr>
                <w:b w:val="false"/>
                <w:bCs w:val="false"/>
                <w:i w:val="false"/>
                <w:iCs w:val="false"/>
                <w:color w:val="000000"/>
              </w:rPr>
              <w:t xml:space="preserve">Autenticación e inicio de sesión. El sistema debe permitir el ingreso mediante la combinación de documento + contraseña.</w:t>
            </w:r>
          </w:p>
        </w:tc>
        <w:tc>
          <w:tcPr>
            <w:tcMar>
              <w:top w:type="dxa" w:w="80"/>
              <w:left w:type="dxa" w:w="100"/>
              <w:bottom w:type="dxa" w:w="80"/>
              <w:right w:type="dxa" w:w="100"/>
            </w:tcMar>
            <w:vAlign w:val="center"/>
          </w:tcPr>
          <w:p>
            <w:pPr>
              <w:spacing w:after="60"/>
            </w:pPr>
            <w:r>
              <w:t xml:space="preserve">CA-02.1: Si las credenciales coinciden, se inicia la sesión y se redirige al dashboard del rol correspondiente.</w:t>
            </w:r>
          </w:p>
          <w:p>
            <w:r>
              <w:t xml:space="preserve">CA-02.2: Si las credenciales no coinciden, el sistema informa el error sin indicar cuál de los dos datos es incorrecto (ver RNF-02 para el bloqueo por intentos fallidos).</w:t>
            </w:r>
          </w:p>
        </w:tc>
      </w:tr>
      <w:tr>
        <w:tc>
          <w:tcPr>
            <w:tcMar>
              <w:top w:type="dxa" w:w="80"/>
              <w:left w:type="dxa" w:w="100"/>
              <w:bottom w:type="dxa" w:w="80"/>
              <w:right w:type="dxa" w:w="100"/>
            </w:tcMar>
            <w:vAlign w:val="center"/>
          </w:tcPr>
          <w:p>
            <w:pPr>
              <w:jc w:val="left"/>
            </w:pPr>
            <w:r>
              <w:rPr>
                <w:b/>
                <w:bCs/>
                <w:i w:val="false"/>
                <w:iCs w:val="false"/>
                <w:color w:val="000000"/>
              </w:rPr>
              <w:t xml:space="preserve">RF-03</w:t>
            </w:r>
          </w:p>
        </w:tc>
        <w:tc>
          <w:tcPr>
            <w:tcMar>
              <w:top w:type="dxa" w:w="80"/>
              <w:left w:type="dxa" w:w="100"/>
              <w:bottom w:type="dxa" w:w="80"/>
              <w:right w:type="dxa" w:w="100"/>
            </w:tcMar>
            <w:vAlign w:val="center"/>
          </w:tcPr>
          <w:p>
            <w:pPr>
              <w:jc w:val="left"/>
            </w:pPr>
            <w:r>
              <w:rPr>
                <w:b w:val="false"/>
                <w:bCs w:val="false"/>
                <w:i w:val="false"/>
                <w:iCs w:val="false"/>
                <w:color w:val="000000"/>
              </w:rPr>
              <w:t xml:space="preserve">Cálculo y visualización de saldos y bolsillos.</w:t>
            </w:r>
          </w:p>
        </w:tc>
        <w:tc>
          <w:tcPr>
            <w:tcMar>
              <w:top w:type="dxa" w:w="80"/>
              <w:left w:type="dxa" w:w="100"/>
              <w:bottom w:type="dxa" w:w="80"/>
              <w:right w:type="dxa" w:w="100"/>
            </w:tcMar>
            <w:vAlign w:val="center"/>
          </w:tcPr>
          <w:p>
            <w:pPr>
              <w:spacing w:after="60"/>
            </w:pPr>
            <w:r>
              <w:t xml:space="preserve">CA-03.1: El dinero asignado a “Bolsillos” no se incluye en el saldo disponible.</w:t>
            </w:r>
          </w:p>
          <w:p>
            <w:r>
              <w:t xml:space="preserve">CA-03.2: El saldo total mostrado al usuario refleja la suma de: saldo disponible + dinero en bolsillos.</w:t>
            </w:r>
          </w:p>
        </w:tc>
      </w:tr>
      <w:tr>
        <w:tc>
          <w:tcPr>
            <w:tcMar>
              <w:top w:type="dxa" w:w="80"/>
              <w:left w:type="dxa" w:w="100"/>
              <w:bottom w:type="dxa" w:w="80"/>
              <w:right w:type="dxa" w:w="100"/>
            </w:tcMar>
            <w:vAlign w:val="center"/>
          </w:tcPr>
          <w:p>
            <w:pPr>
              <w:jc w:val="left"/>
            </w:pPr>
            <w:r>
              <w:rPr>
                <w:b/>
                <w:bCs/>
                <w:i w:val="false"/>
                <w:iCs w:val="false"/>
                <w:color w:val="000000"/>
              </w:rPr>
              <w:t xml:space="preserve">RF-04</w:t>
            </w:r>
          </w:p>
        </w:tc>
        <w:tc>
          <w:tcPr>
            <w:tcMar>
              <w:top w:type="dxa" w:w="80"/>
              <w:left w:type="dxa" w:w="100"/>
              <w:bottom w:type="dxa" w:w="80"/>
              <w:right w:type="dxa" w:w="100"/>
            </w:tcMar>
            <w:vAlign w:val="center"/>
          </w:tcPr>
          <w:p>
            <w:pPr>
              <w:jc w:val="left"/>
            </w:pPr>
            <w:r>
              <w:rPr>
                <w:b w:val="false"/>
                <w:bCs w:val="false"/>
                <w:i w:val="false"/>
                <w:iCs w:val="false"/>
                <w:color w:val="000000"/>
              </w:rPr>
              <w:t xml:space="preserve">Gestión de transacciones y límites. El sistema debe permitir realizar transferencias, recibir dinero y hacer pagos.</w:t>
            </w:r>
          </w:p>
        </w:tc>
        <w:tc>
          <w:tcPr>
            <w:tcMar>
              <w:top w:type="dxa" w:w="80"/>
              <w:left w:type="dxa" w:w="100"/>
              <w:bottom w:type="dxa" w:w="80"/>
              <w:right w:type="dxa" w:w="100"/>
            </w:tcMar>
            <w:vAlign w:val="center"/>
          </w:tcPr>
          <w:p>
            <w:pPr>
              <w:spacing w:after="60"/>
            </w:pPr>
            <w:r>
              <w:t xml:space="preserve">CA-04.1: Cada transacción genera un ID único, fecha, hora, origen, destino, valor y estado (Pendiente, Procesada, Completada, Rechazada, Cancelada).</w:t>
            </w:r>
          </w:p>
          <w:p>
            <w:r>
              <w:t xml:space="preserve">CA-04.2: Una transferencia por un monto mayor al saldo disponible se rechaza automáticamente y queda registrada con estado Rechazada (ver RN-01).</w:t>
            </w:r>
          </w:p>
        </w:tc>
      </w:tr>
      <w:tr>
        <w:tc>
          <w:tcPr>
            <w:tcMar>
              <w:top w:type="dxa" w:w="80"/>
              <w:left w:type="dxa" w:w="100"/>
              <w:bottom w:type="dxa" w:w="80"/>
              <w:right w:type="dxa" w:w="100"/>
            </w:tcMar>
            <w:vAlign w:val="center"/>
          </w:tcPr>
          <w:p>
            <w:pPr>
              <w:jc w:val="left"/>
            </w:pPr>
            <w:r>
              <w:rPr>
                <w:b/>
                <w:bCs/>
                <w:i w:val="false"/>
                <w:iCs w:val="false"/>
                <w:color w:val="000000"/>
              </w:rPr>
              <w:t xml:space="preserve">RF-05</w:t>
            </w:r>
          </w:p>
        </w:tc>
        <w:tc>
          <w:tcPr>
            <w:tcMar>
              <w:top w:type="dxa" w:w="80"/>
              <w:left w:type="dxa" w:w="100"/>
              <w:bottom w:type="dxa" w:w="80"/>
              <w:right w:type="dxa" w:w="100"/>
            </w:tcMar>
            <w:vAlign w:val="center"/>
          </w:tcPr>
          <w:p>
            <w:pPr>
              <w:jc w:val="left"/>
            </w:pPr>
            <w:r>
              <w:rPr>
                <w:b w:val="false"/>
                <w:bCs w:val="false"/>
                <w:i w:val="false"/>
                <w:iCs w:val="false"/>
                <w:color w:val="000000"/>
              </w:rPr>
              <w:t xml:space="preserve">Gestión administrativa de transacciones. El administrador debe disponer de herramientas para buscar usuarios, ver historiales, cancelar movimientos y realizar devoluciones.</w:t>
            </w:r>
          </w:p>
        </w:tc>
        <w:tc>
          <w:tcPr>
            <w:tcMar>
              <w:top w:type="dxa" w:w="80"/>
              <w:left w:type="dxa" w:w="100"/>
              <w:bottom w:type="dxa" w:w="80"/>
              <w:right w:type="dxa" w:w="100"/>
            </w:tcMar>
            <w:vAlign w:val="center"/>
          </w:tcPr>
          <w:p>
            <w:pPr>
              <w:spacing w:after="60"/>
            </w:pPr>
            <w:r>
              <w:t xml:space="preserve">CA-05.1: El administrador puede buscar usuarios por número de documento, cuenta o correo.</w:t>
            </w:r>
          </w:p>
          <w:p>
            <w:r>
              <w:t xml:space="preserve">CA-05.2: El administrador puede ejecutar la cancelación o devolución de un movimiento desde su panel, generando un movimiento de reversión (ver RN-05).</w:t>
            </w:r>
          </w:p>
        </w:tc>
      </w:tr>
      <w:tr>
        <w:tc>
          <w:tcPr>
            <w:shd w:fill="FFF2CC" w:val="clear"/>
            <w:tcMar>
              <w:top w:type="dxa" w:w="80"/>
              <w:left w:type="dxa" w:w="100"/>
              <w:bottom w:type="dxa" w:w="80"/>
              <w:right w:type="dxa" w:w="100"/>
            </w:tcMar>
            <w:vAlign w:val="center"/>
          </w:tcPr>
          <w:p>
            <w:pPr>
              <w:jc w:val="left"/>
            </w:pPr>
            <w:r>
              <w:rPr>
                <w:b/>
                <w:bCs/>
                <w:i w:val="false"/>
                <w:iCs w:val="false"/>
                <w:color w:val="000000"/>
              </w:rPr>
              <w:t xml:space="preserve">RF-06</w:t>
            </w:r>
          </w:p>
        </w:tc>
        <w:tc>
          <w:tcPr>
            <w:tcMar>
              <w:top w:type="dxa" w:w="80"/>
              <w:left w:type="dxa" w:w="100"/>
              <w:bottom w:type="dxa" w:w="80"/>
              <w:right w:type="dxa" w:w="100"/>
            </w:tcMar>
            <w:vAlign w:val="center"/>
          </w:tcPr>
          <w:p>
            <w:pPr>
              <w:jc w:val="left"/>
            </w:pPr>
            <w:r>
              <w:rPr>
                <w:b w:val="false"/>
                <w:bCs w:val="false"/>
                <w:i w:val="false"/>
                <w:iCs w:val="false"/>
                <w:color w:val="000000"/>
              </w:rPr>
              <w:t xml:space="preserve">Notificaciones al usuario. El sistema debe notificar al usuario ante eventos relevantes de su cuenta.</w:t>
            </w:r>
          </w:p>
        </w:tc>
        <w:tc>
          <w:tcPr>
            <w:tcMar>
              <w:top w:type="dxa" w:w="80"/>
              <w:left w:type="dxa" w:w="100"/>
              <w:bottom w:type="dxa" w:w="80"/>
              <w:right w:type="dxa" w:w="100"/>
            </w:tcMar>
            <w:vAlign w:val="center"/>
          </w:tcPr>
          <w:p>
            <w:pPr>
              <w:spacing w:after="60"/>
            </w:pPr>
            <w:r>
              <w:t xml:space="preserve">CA-06.1: El sistema envía una notificación inmediatamente después de completarse una transferencia enviada o recibida, indicando monto, fecha y contraparte.</w:t>
            </w:r>
          </w:p>
          <w:p>
            <w:r>
              <w:t xml:space="preserve">CA-06.2: El sistema envía una notificación al usuario cada vez que se modifica la contraseña de su cuenta, indicando fecha y hora del cambio.</w:t>
            </w:r>
          </w:p>
        </w:tc>
      </w:tr>
      <w:tr>
        <w:tc>
          <w:tcPr>
            <w:shd w:fill="FFF2CC" w:val="clear"/>
            <w:tcMar>
              <w:top w:type="dxa" w:w="80"/>
              <w:left w:type="dxa" w:w="100"/>
              <w:bottom w:type="dxa" w:w="80"/>
              <w:right w:type="dxa" w:w="100"/>
            </w:tcMar>
            <w:vAlign w:val="center"/>
          </w:tcPr>
          <w:p>
            <w:pPr>
              <w:jc w:val="left"/>
            </w:pPr>
            <w:r>
              <w:rPr>
                <w:b/>
                <w:bCs/>
                <w:i w:val="false"/>
                <w:iCs w:val="false"/>
                <w:color w:val="000000"/>
              </w:rPr>
              <w:t xml:space="preserve">RF-07</w:t>
            </w:r>
          </w:p>
        </w:tc>
        <w:tc>
          <w:tcPr>
            <w:tcMar>
              <w:top w:type="dxa" w:w="80"/>
              <w:left w:type="dxa" w:w="100"/>
              <w:bottom w:type="dxa" w:w="80"/>
              <w:right w:type="dxa" w:w="100"/>
            </w:tcMar>
            <w:vAlign w:val="center"/>
          </w:tcPr>
          <w:p>
            <w:pPr>
              <w:jc w:val="left"/>
            </w:pPr>
            <w:r>
              <w:rPr>
                <w:b w:val="false"/>
                <w:bCs w:val="false"/>
                <w:i w:val="false"/>
                <w:iCs w:val="false"/>
                <w:color w:val="000000"/>
              </w:rPr>
              <w:t xml:space="preserve">Reportes descargables. El sistema debe permitir a usuarios y al rol contable generar y descargar reportes de movimientos.</w:t>
            </w:r>
          </w:p>
        </w:tc>
        <w:tc>
          <w:tcPr>
            <w:tcMar>
              <w:top w:type="dxa" w:w="80"/>
              <w:left w:type="dxa" w:w="100"/>
              <w:bottom w:type="dxa" w:w="80"/>
              <w:right w:type="dxa" w:w="100"/>
            </w:tcMar>
            <w:vAlign w:val="center"/>
          </w:tcPr>
          <w:p>
            <w:pPr>
              <w:spacing w:after="60"/>
            </w:pPr>
            <w:r>
              <w:t xml:space="preserve">CA-07.1: El usuario puede seleccionar un rango de fechas y descargar un reporte de sus movimientos en formato PDF o CSV.</w:t>
            </w:r>
          </w:p>
          <w:p>
            <w:r>
              <w:t xml:space="preserve">CA-07.2: El reporte descargado incluye ID de transacción, fecha, tipo, origen, destino, valor y estado.</w:t>
            </w:r>
          </w:p>
        </w:tc>
      </w:tr>
      <w:tr>
        <w:tc>
          <w:tcPr>
            <w:shd w:fill="FFF2CC" w:val="clear"/>
            <w:tcMar>
              <w:top w:type="dxa" w:w="80"/>
              <w:left w:type="dxa" w:w="100"/>
              <w:bottom w:type="dxa" w:w="80"/>
              <w:right w:type="dxa" w:w="100"/>
            </w:tcMar>
            <w:vAlign w:val="center"/>
          </w:tcPr>
          <w:p>
            <w:pPr>
              <w:jc w:val="left"/>
            </w:pPr>
            <w:r>
              <w:rPr>
                <w:b/>
                <w:bCs/>
                <w:i w:val="false"/>
                <w:iCs w:val="false"/>
                <w:color w:val="000000"/>
              </w:rPr>
              <w:t xml:space="preserve">RF-08</w:t>
            </w:r>
          </w:p>
        </w:tc>
        <w:tc>
          <w:tcPr>
            <w:tcMar>
              <w:top w:type="dxa" w:w="80"/>
              <w:left w:type="dxa" w:w="100"/>
              <w:bottom w:type="dxa" w:w="80"/>
              <w:right w:type="dxa" w:w="100"/>
            </w:tcMar>
            <w:vAlign w:val="center"/>
          </w:tcPr>
          <w:p>
            <w:pPr>
              <w:jc w:val="left"/>
            </w:pPr>
            <w:r>
              <w:rPr>
                <w:b w:val="false"/>
                <w:bCs w:val="false"/>
                <w:i w:val="false"/>
                <w:iCs w:val="false"/>
                <w:color w:val="000000"/>
              </w:rPr>
              <w:t xml:space="preserve">Dashboard contable detallado. El sistema debe proveer al rol contable un panel con el detalle del flujo financiero global.</w:t>
            </w:r>
          </w:p>
        </w:tc>
        <w:tc>
          <w:tcPr>
            <w:tcMar>
              <w:top w:type="dxa" w:w="80"/>
              <w:left w:type="dxa" w:w="100"/>
              <w:bottom w:type="dxa" w:w="80"/>
              <w:right w:type="dxa" w:w="100"/>
            </w:tcMar>
            <w:vAlign w:val="center"/>
          </w:tcPr>
          <w:p>
            <w:pPr>
              <w:spacing w:after="60"/>
            </w:pPr>
            <w:r>
              <w:t xml:space="preserve">CA-08.1: El dashboard contable permite filtrar por rango de fechas y visualizar totales de ingresos, egresos y saldo neto movilizado.</w:t>
            </w:r>
          </w:p>
          <w:p>
            <w:r>
              <w:t xml:space="preserve">CA-08.2: El dashboard contable permite desglosar la información por tipo de transacción (transferencias, pagos, bolsillos).</w:t>
            </w:r>
          </w:p>
        </w:tc>
      </w:tr>
    </w:tbl>
    <w:p>
      <w:pPr>
        <w:spacing w:after="120"/>
      </w:pPr>
    </w:p>
    <w:p>
      <w:pPr>
        <w:spacing w:after="240"/>
      </w:pPr>
      <w:r>
        <w:rPr>
          <w:i/>
          <w:iCs/>
          <w:sz w:val="20"/>
          <w:szCs w:val="20"/>
        </w:rPr>
        <w:t xml:space="preserve">RF-06, RF-07 y RF-08 (resaltados) corresponden a necesidades que el cliente ya había expresado en la entrevista y que en la entrega anterior no se habían formalizado (ver sección 3.1).</w:t>
      </w:r>
    </w:p>
    <w:p>
      <w:pPr>
        <w:pStyle w:val="Heading1"/>
        <w:spacing w:after="160" w:before="320"/>
      </w:pPr>
      <w:r>
        <w:t xml:space="preserve">7. Requisitos No Funcionales (RNF)</w:t>
      </w:r>
    </w:p>
    <w:p>
      <w:pPr>
        <w:spacing w:after="160"/>
        <w:jc w:val="both"/>
      </w:pPr>
      <w:r>
        <w:t xml:space="preserve">Se reescriben RNF-02 y RNF-04 para que sean medibles, es decir, verificables mediante una prueba objetiva y no solo un nombre de atributo de calidad.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50"/>
      </w:tblGrid>
      <w:tr>
        <w:trPr>
          <w:tblHeader/>
        </w:trPr>
        <w:tc>
          <w:tcPr>
            <w:tcW w:type="dxa" w:w="900"/>
            <w:shd w:fill="1F3864" w:val="clear"/>
            <w:tcMar>
              <w:top w:type="dxa" w:w="80"/>
              <w:left w:type="dxa" w:w="100"/>
              <w:bottom w:type="dxa" w:w="80"/>
              <w:right w:type="dxa" w:w="100"/>
            </w:tcMar>
            <w:vAlign w:val="center"/>
          </w:tcPr>
          <w:p>
            <w:pPr>
              <w:jc w:val="center"/>
            </w:pPr>
            <w:r>
              <w:rPr>
                <w:b/>
                <w:bCs/>
                <w:i w:val="false"/>
                <w:iCs w:val="false"/>
                <w:color w:val="FFFFFF"/>
              </w:rPr>
              <w:t xml:space="preserve">ID</w:t>
            </w:r>
          </w:p>
        </w:tc>
        <w:tc>
          <w:tcPr>
            <w:tcW w:type="dxa" w:w="1900"/>
            <w:shd w:fill="1F3864" w:val="clear"/>
            <w:tcMar>
              <w:top w:type="dxa" w:w="80"/>
              <w:left w:type="dxa" w:w="100"/>
              <w:bottom w:type="dxa" w:w="80"/>
              <w:right w:type="dxa" w:w="100"/>
            </w:tcMar>
            <w:vAlign w:val="center"/>
          </w:tcPr>
          <w:p>
            <w:pPr>
              <w:jc w:val="center"/>
            </w:pPr>
            <w:r>
              <w:rPr>
                <w:b/>
                <w:bCs/>
                <w:i w:val="false"/>
                <w:iCs w:val="false"/>
                <w:color w:val="FFFFFF"/>
              </w:rPr>
              <w:t xml:space="preserve">Atributo</w:t>
            </w:r>
          </w:p>
        </w:tc>
        <w:tc>
          <w:tcPr>
            <w:tcW w:type="dxa" w:w="6550"/>
            <w:shd w:fill="1F3864" w:val="clear"/>
            <w:tcMar>
              <w:top w:type="dxa" w:w="80"/>
              <w:left w:type="dxa" w:w="100"/>
              <w:bottom w:type="dxa" w:w="80"/>
              <w:right w:type="dxa" w:w="100"/>
            </w:tcMar>
            <w:vAlign w:val="center"/>
          </w:tcPr>
          <w:p>
            <w:pPr>
              <w:jc w:val="center"/>
            </w:pPr>
            <w:r>
              <w:rPr>
                <w:b/>
                <w:bCs/>
                <w:i w:val="false"/>
                <w:iCs w:val="false"/>
                <w:color w:val="FFFFFF"/>
              </w:rPr>
              <w:t xml:space="preserve">Descripción medible</w:t>
            </w:r>
          </w:p>
        </w:tc>
      </w:tr>
      <w:tr>
        <w:tc>
          <w:tcPr>
            <w:tcMar>
              <w:top w:type="dxa" w:w="80"/>
              <w:left w:type="dxa" w:w="100"/>
              <w:bottom w:type="dxa" w:w="80"/>
              <w:right w:type="dxa" w:w="100"/>
            </w:tcMar>
            <w:vAlign w:val="center"/>
          </w:tcPr>
          <w:p>
            <w:pPr>
              <w:jc w:val="left"/>
            </w:pPr>
            <w:r>
              <w:rPr>
                <w:b/>
                <w:bCs/>
                <w:i w:val="false"/>
                <w:iCs w:val="false"/>
                <w:color w:val="000000"/>
              </w:rPr>
              <w:t xml:space="preserve">RNF-01</w:t>
            </w:r>
          </w:p>
        </w:tc>
        <w:tc>
          <w:tcPr>
            <w:tcMar>
              <w:top w:type="dxa" w:w="80"/>
              <w:left w:type="dxa" w:w="100"/>
              <w:bottom w:type="dxa" w:w="80"/>
              <w:right w:type="dxa" w:w="100"/>
            </w:tcMar>
            <w:vAlign w:val="center"/>
          </w:tcPr>
          <w:p>
            <w:pPr>
              <w:jc w:val="left"/>
            </w:pPr>
            <w:r>
              <w:rPr>
                <w:b w:val="false"/>
                <w:bCs w:val="false"/>
                <w:i w:val="false"/>
                <w:iCs w:val="false"/>
                <w:color w:val="000000"/>
              </w:rPr>
              <w:t xml:space="preserve">Seguridad</w:t>
            </w:r>
          </w:p>
        </w:tc>
        <w:tc>
          <w:tcPr>
            <w:tcMar>
              <w:top w:type="dxa" w:w="80"/>
              <w:left w:type="dxa" w:w="100"/>
              <w:bottom w:type="dxa" w:w="80"/>
              <w:right w:type="dxa" w:w="100"/>
            </w:tcMar>
            <w:vAlign w:val="center"/>
          </w:tcPr>
          <w:p>
            <w:pPr>
              <w:jc w:val="left"/>
            </w:pPr>
            <w:r>
              <w:rPr>
                <w:b w:val="false"/>
                <w:bCs w:val="false"/>
                <w:i w:val="false"/>
                <w:iCs w:val="false"/>
                <w:color w:val="000000"/>
              </w:rPr>
              <w:t xml:space="preserve">Cierre automático de sesión: la sesión del usuario debe finalizar automáticamente por inactividad tras exactamente 10 minutos sin interacción.</w:t>
            </w:r>
          </w:p>
        </w:tc>
      </w:tr>
      <w:tr>
        <w:tc>
          <w:tcPr>
            <w:shd w:fill="FFF2CC" w:val="clear"/>
            <w:tcMar>
              <w:top w:type="dxa" w:w="80"/>
              <w:left w:type="dxa" w:w="100"/>
              <w:bottom w:type="dxa" w:w="80"/>
              <w:right w:type="dxa" w:w="100"/>
            </w:tcMar>
            <w:vAlign w:val="center"/>
          </w:tcPr>
          <w:p>
            <w:pPr>
              <w:jc w:val="left"/>
            </w:pPr>
            <w:r>
              <w:rPr>
                <w:b/>
                <w:bCs/>
                <w:i w:val="false"/>
                <w:iCs w:val="false"/>
                <w:color w:val="000000"/>
              </w:rPr>
              <w:t xml:space="preserve">RNF-02</w:t>
            </w:r>
          </w:p>
        </w:tc>
        <w:tc>
          <w:tcPr>
            <w:tcMar>
              <w:top w:type="dxa" w:w="80"/>
              <w:left w:type="dxa" w:w="100"/>
              <w:bottom w:type="dxa" w:w="80"/>
              <w:right w:type="dxa" w:w="100"/>
            </w:tcMar>
            <w:vAlign w:val="center"/>
          </w:tcPr>
          <w:p>
            <w:pPr>
              <w:jc w:val="left"/>
            </w:pPr>
            <w:r>
              <w:rPr>
                <w:b w:val="false"/>
                <w:bCs w:val="false"/>
                <w:i w:val="false"/>
                <w:iCs w:val="false"/>
                <w:color w:val="000000"/>
              </w:rPr>
              <w:t xml:space="preserve">Seguridad</w:t>
            </w:r>
          </w:p>
        </w:tc>
        <w:tc>
          <w:tcPr>
            <w:tcMar>
              <w:top w:type="dxa" w:w="80"/>
              <w:left w:type="dxa" w:w="100"/>
              <w:bottom w:type="dxa" w:w="80"/>
              <w:right w:type="dxa" w:w="100"/>
            </w:tcMar>
            <w:vAlign w:val="center"/>
          </w:tcPr>
          <w:p>
            <w:pPr>
              <w:jc w:val="left"/>
            </w:pPr>
            <w:r>
              <w:rPr>
                <w:b w:val="false"/>
                <w:bCs w:val="false"/>
                <w:i w:val="false"/>
                <w:iCs w:val="false"/>
                <w:color w:val="000000"/>
              </w:rPr>
              <w:t xml:space="preserve">El sistema debe autenticar mediante documento + contraseña, almacenando las contraseñas con hash (bcrypt, factor de costo mínimo 10) y bloqueando la cuenta durante 15 minutos después de 5 intentos fallidos consecutivos.</w:t>
            </w:r>
          </w:p>
        </w:tc>
      </w:tr>
      <w:tr>
        <w:tc>
          <w:tcPr>
            <w:tcMar>
              <w:top w:type="dxa" w:w="80"/>
              <w:left w:type="dxa" w:w="100"/>
              <w:bottom w:type="dxa" w:w="80"/>
              <w:right w:type="dxa" w:w="100"/>
            </w:tcMar>
            <w:vAlign w:val="center"/>
          </w:tcPr>
          <w:p>
            <w:pPr>
              <w:jc w:val="left"/>
            </w:pPr>
            <w:r>
              <w:rPr>
                <w:b/>
                <w:bCs/>
                <w:i w:val="false"/>
                <w:iCs w:val="false"/>
                <w:color w:val="000000"/>
              </w:rPr>
              <w:t xml:space="preserve">RNF-03</w:t>
            </w:r>
          </w:p>
        </w:tc>
        <w:tc>
          <w:tcPr>
            <w:tcMar>
              <w:top w:type="dxa" w:w="80"/>
              <w:left w:type="dxa" w:w="100"/>
              <w:bottom w:type="dxa" w:w="80"/>
              <w:right w:type="dxa" w:w="100"/>
            </w:tcMar>
            <w:vAlign w:val="center"/>
          </w:tcPr>
          <w:p>
            <w:pPr>
              <w:jc w:val="left"/>
            </w:pPr>
            <w:r>
              <w:rPr>
                <w:b w:val="false"/>
                <w:bCs w:val="false"/>
                <w:i w:val="false"/>
                <w:iCs w:val="false"/>
                <w:color w:val="000000"/>
              </w:rPr>
              <w:t xml:space="preserve">Portabilidad</w:t>
            </w:r>
          </w:p>
        </w:tc>
        <w:tc>
          <w:tcPr>
            <w:tcMar>
              <w:top w:type="dxa" w:w="80"/>
              <w:left w:type="dxa" w:w="100"/>
              <w:bottom w:type="dxa" w:w="80"/>
              <w:right w:type="dxa" w:w="100"/>
            </w:tcMar>
            <w:vAlign w:val="center"/>
          </w:tcPr>
          <w:p>
            <w:pPr>
              <w:jc w:val="left"/>
            </w:pPr>
            <w:r>
              <w:rPr>
                <w:b w:val="false"/>
                <w:bCs w:val="false"/>
                <w:i w:val="false"/>
                <w:iCs w:val="false"/>
                <w:color w:val="000000"/>
              </w:rPr>
              <w:t xml:space="preserve">La interfaz web debe adaptarse dinámicamente (diseño responsivo) y ser completamente funcional en resoluciones de pantalla de computador desde 1280×720 en adelante.</w:t>
            </w:r>
          </w:p>
        </w:tc>
      </w:tr>
      <w:tr>
        <w:tc>
          <w:tcPr>
            <w:shd w:fill="FFF2CC" w:val="clear"/>
            <w:tcMar>
              <w:top w:type="dxa" w:w="80"/>
              <w:left w:type="dxa" w:w="100"/>
              <w:bottom w:type="dxa" w:w="80"/>
              <w:right w:type="dxa" w:w="100"/>
            </w:tcMar>
            <w:vAlign w:val="center"/>
          </w:tcPr>
          <w:p>
            <w:pPr>
              <w:jc w:val="left"/>
            </w:pPr>
            <w:r>
              <w:rPr>
                <w:b/>
                <w:bCs/>
                <w:i w:val="false"/>
                <w:iCs w:val="false"/>
                <w:color w:val="000000"/>
              </w:rPr>
              <w:t xml:space="preserve">RNF-04</w:t>
            </w:r>
          </w:p>
        </w:tc>
        <w:tc>
          <w:tcPr>
            <w:tcMar>
              <w:top w:type="dxa" w:w="80"/>
              <w:left w:type="dxa" w:w="100"/>
              <w:bottom w:type="dxa" w:w="80"/>
              <w:right w:type="dxa" w:w="100"/>
            </w:tcMar>
            <w:vAlign w:val="center"/>
          </w:tcPr>
          <w:p>
            <w:pPr>
              <w:jc w:val="left"/>
            </w:pPr>
            <w:r>
              <w:rPr>
                <w:b w:val="false"/>
                <w:bCs w:val="false"/>
                <w:i w:val="false"/>
                <w:iCs w:val="false"/>
                <w:color w:val="000000"/>
              </w:rPr>
              <w:t xml:space="preserve">Compatibilidad</w:t>
            </w:r>
          </w:p>
        </w:tc>
        <w:tc>
          <w:tcPr>
            <w:tcMar>
              <w:top w:type="dxa" w:w="80"/>
              <w:left w:type="dxa" w:w="100"/>
              <w:bottom w:type="dxa" w:w="80"/>
              <w:right w:type="dxa" w:w="100"/>
            </w:tcMar>
            <w:vAlign w:val="center"/>
          </w:tcPr>
          <w:p>
            <w:pPr>
              <w:jc w:val="left"/>
            </w:pPr>
            <w:r>
              <w:rPr>
                <w:b w:val="false"/>
                <w:bCs w:val="false"/>
                <w:i w:val="false"/>
                <w:iCs w:val="false"/>
                <w:color w:val="000000"/>
              </w:rPr>
              <w:t xml:space="preserve">La plataforma debe funcionar sin errores visuales ni funcionales en las dos últimas versiones estables de Google Chrome, Mozilla Firefox y Microsoft Edge.</w:t>
            </w:r>
          </w:p>
        </w:tc>
      </w:tr>
    </w:tbl>
    <w:p>
      <w:pPr>
        <w:spacing w:after="160"/>
      </w:pPr>
    </w:p>
    <w:p>
      <w:pPr>
        <w:pStyle w:val="Heading1"/>
        <w:spacing w:after="160" w:before="320"/>
      </w:pPr>
      <w:r>
        <w:t xml:space="preserve">8. Diagramas de Análisis</w:t>
      </w:r>
    </w:p>
    <w:p>
      <w:pPr>
        <w:pStyle w:val="Heading2"/>
        <w:spacing w:after="120" w:before="240"/>
      </w:pPr>
      <w:r>
        <w:t xml:space="preserve">8.1 Diagrama de contexto</w:t>
      </w:r>
    </w:p>
    <w:p>
      <w:pPr>
        <w:spacing w:after="160"/>
        <w:jc w:val="both"/>
      </w:pPr>
      <w:r>
        <w:t xml:space="preserve">El diagrama de contexto se mantiene de la entrega anterior; representa correctamente el sistema bancario como caja única frente a los tres roles y el servicio de correo externo.</w:t>
      </w:r>
    </w:p>
    <w:p>
      <w:pPr>
        <w:spacing w:after="120" w:before="120"/>
        <w:jc w:val="center"/>
      </w:pPr>
      <w:r>
        <w:drawing>
          <wp:inline distT="0" distB="0" distL="0" distR="0">
            <wp:extent cx="4095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619500"/>
                    </a:xfrm>
                    <a:prstGeom prst="rect">
                      <a:avLst/>
                    </a:prstGeom>
                  </pic:spPr>
                </pic:pic>
              </a:graphicData>
            </a:graphic>
          </wp:inline>
        </w:drawing>
      </w:r>
    </w:p>
    <w:p>
      <w:pPr>
        <w:spacing w:after="240"/>
        <w:jc w:val="center"/>
      </w:pPr>
      <w:r>
        <w:rPr>
          <w:i/>
          <w:iCs/>
          <w:sz w:val="20"/>
          <w:szCs w:val="20"/>
        </w:rPr>
        <w:t xml:space="preserve">Figura 1. Diagrama de contexto — Sistema Bancario FINTEC.</w:t>
      </w:r>
    </w:p>
    <w:p>
      <w:pPr>
        <w:pStyle w:val="Heading2"/>
        <w:spacing w:after="120" w:before="240"/>
      </w:pPr>
      <w:r>
        <w:t xml:space="preserve">8.2 Diagrama de flujo de datos (DFD nivel 0)</w:t>
      </w:r>
    </w:p>
    <w:p>
      <w:pPr>
        <w:spacing w:after="160"/>
        <w:jc w:val="both"/>
      </w:pPr>
      <w:r>
        <w:t xml:space="preserve">El diagrama de flujo de datos se mantiene de la entrega anterior; los procesos, flujos y almacenes son coherentes con los roles y requisitos funcionales descritos.</w:t>
      </w:r>
    </w:p>
    <w:p>
      <w:pPr>
        <w:spacing w:after="120" w:before="120"/>
        <w:jc w:val="center"/>
      </w:pPr>
      <w:r>
        <w:drawing>
          <wp:inline distT="0" distB="0" distL="0" distR="0">
            <wp:extent cx="31432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4095750"/>
                    </a:xfrm>
                    <a:prstGeom prst="rect">
                      <a:avLst/>
                    </a:prstGeom>
                  </pic:spPr>
                </pic:pic>
              </a:graphicData>
            </a:graphic>
          </wp:inline>
        </w:drawing>
      </w:r>
    </w:p>
    <w:p>
      <w:pPr>
        <w:spacing w:after="240"/>
        <w:jc w:val="center"/>
      </w:pPr>
      <w:r>
        <w:rPr>
          <w:i/>
          <w:iCs/>
          <w:sz w:val="20"/>
          <w:szCs w:val="20"/>
        </w:rPr>
        <w:t xml:space="preserve">Figura 2. Diagrama de flujo de datos (DFD) nivel 0 — Sistema Bancario FINTEC.</w:t>
      </w:r>
    </w:p>
    <w:p>
      <w:pPr>
        <w:pStyle w:val="Heading2"/>
        <w:spacing w:after="120" w:before="240"/>
      </w:pPr>
      <w:r>
        <w:t xml:space="preserve">8.3 Diagrama de casos de uso (UML)</w:t>
      </w:r>
    </w:p>
    <w:p>
      <w:pPr>
        <w:spacing w:after="160"/>
        <w:jc w:val="both"/>
      </w:pPr>
      <w:r>
        <w:t xml:space="preserve">El diagrama de la entrega anterior no seguía notación UML estándar (mezclaba actores, casos de uso y el propio sistema como una caja adicional, sin distinguir asociaciones de relaciones «include»/«extend»). Se reemplaza por el siguiente diagrama de casos de uso en notación UML, con actores como figuras de palo, casos de uso como elipses dentro del límite del sistema, y las relaciones «include»/«extend» correctamente etiquetadas. Se incluyen además los casos de uso correspondientes a RF-06, RF-07 y RF-08.</w:t>
      </w:r>
    </w:p>
    <w:p>
      <w:pPr>
        <w:spacing w:after="120" w:before="120"/>
        <w:jc w:val="center"/>
      </w:pPr>
      <w:r>
        <w:drawing>
          <wp:inline distT="0" distB="0" distL="0" distR="0">
            <wp:extent cx="4572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114800"/>
                    </a:xfrm>
                    <a:prstGeom prst="rect">
                      <a:avLst/>
                    </a:prstGeom>
                  </pic:spPr>
                </pic:pic>
              </a:graphicData>
            </a:graphic>
          </wp:inline>
        </w:drawing>
      </w:r>
    </w:p>
    <w:p>
      <w:pPr>
        <w:spacing w:after="240"/>
        <w:jc w:val="center"/>
      </w:pPr>
      <w:r>
        <w:rPr>
          <w:i/>
          <w:iCs/>
          <w:sz w:val="20"/>
          <w:szCs w:val="20"/>
        </w:rPr>
        <w:t xml:space="preserve">Figura 3. Diagrama de casos de uso en notación UML — Sistema Bancario FINTEC.</w:t>
      </w:r>
    </w:p>
    <w:p>
      <w:pPr>
        <w:pStyle w:val="Heading1"/>
        <w:spacing w:after="160" w:before="320"/>
      </w:pPr>
      <w:r>
        <w:t xml:space="preserve">9. Especificación de Comportamiento (Escenarios)</w:t>
      </w:r>
    </w:p>
    <w:p>
      <w:pPr>
        <w:spacing w:after="160"/>
        <w:jc w:val="both"/>
      </w:pPr>
      <w:r>
        <w:t xml:space="preserve">Se añaden los escenarios de comportamiento que la entrega anterior no incluía, cada uno con entrada, resultado esperado y al menos una excepción, siguiendo un formato tipo OpenSpec.</w:t>
      </w:r>
    </w:p>
    <w:p>
      <w:pPr>
        <w:pStyle w:val="Heading2"/>
        <w:spacing w:after="120" w:before="240"/>
      </w:pPr>
      <w:r>
        <w:t xml:space="preserve">Escenario 1 — Transferencia entre cuentas (RF-04, RN-01)</w:t>
      </w:r>
    </w:p>
    <w:p>
      <w:pPr>
        <w:spacing w:after="120"/>
        <w:jc w:val="both"/>
      </w:pPr>
      <w:r>
        <w:rPr>
          <w:b/>
          <w:bCs/>
        </w:rPr>
        <w:t xml:space="preserve">Entrada: </w:t>
      </w:r>
      <w:r>
        <w:t xml:space="preserve">Un usuario autenticado selecciona “Transferir”, ingresa una cuenta destino válida y un monto.</w:t>
      </w:r>
    </w:p>
    <w:p>
      <w:pPr>
        <w:spacing w:after="120"/>
        <w:jc w:val="both"/>
      </w:pPr>
      <w:r>
        <w:rPr>
          <w:b/>
          <w:bCs/>
        </w:rPr>
        <w:t xml:space="preserve">Resultado esperado: </w:t>
      </w:r>
      <w:r>
        <w:t xml:space="preserve">Si el monto es menor o igual al saldo disponible, el sistema descuenta el monto del origen, lo acredita en el destino, crea un registro de transacción con estado “Completada” y dispara la notificación de RF-06 a ambos usuarios.</w:t>
      </w:r>
    </w:p>
    <w:p>
      <w:pPr>
        <w:spacing w:after="120"/>
        <w:jc w:val="both"/>
      </w:pPr>
      <w:r>
        <w:rPr>
          <w:b/>
          <w:bCs/>
        </w:rPr>
        <w:t xml:space="preserve">Excepción: </w:t>
      </w:r>
      <w:r>
        <w:t xml:space="preserve">Si el monto ingresado supera el saldo disponible, el sistema rechaza la operación, muestra el mensaje “Saldo insuficiente” y registra la transacción con estado “Rechazada”, sin modificar ningún saldo.</w:t>
      </w:r>
    </w:p>
    <w:p>
      <w:pPr>
        <w:pStyle w:val="Heading2"/>
        <w:spacing w:after="120" w:before="240"/>
      </w:pPr>
      <w:r>
        <w:t xml:space="preserve">Escenario 2 — Inicio de sesión (RF-02, RNF-02)</w:t>
      </w:r>
    </w:p>
    <w:p>
      <w:pPr>
        <w:spacing w:after="120"/>
        <w:jc w:val="both"/>
      </w:pPr>
      <w:r>
        <w:rPr>
          <w:b/>
          <w:bCs/>
        </w:rPr>
        <w:t xml:space="preserve">Entrada: </w:t>
      </w:r>
      <w:r>
        <w:t xml:space="preserve">Un usuario ingresa su documento y contraseña en el formulario de inicio de sesión.</w:t>
      </w:r>
    </w:p>
    <w:p>
      <w:pPr>
        <w:spacing w:after="120"/>
        <w:jc w:val="both"/>
      </w:pPr>
      <w:r>
        <w:rPr>
          <w:b/>
          <w:bCs/>
        </w:rPr>
        <w:t xml:space="preserve">Resultado esperado: </w:t>
      </w:r>
      <w:r>
        <w:t xml:space="preserve">Si las credenciales coinciden con las almacenadas, el sistema crea la sesión y redirige al dashboard correspondiente al rol del usuario.</w:t>
      </w:r>
    </w:p>
    <w:p>
      <w:pPr>
        <w:spacing w:after="120"/>
        <w:jc w:val="both"/>
      </w:pPr>
      <w:r>
        <w:rPr>
          <w:b/>
          <w:bCs/>
        </w:rPr>
        <w:t xml:space="preserve">Excepción: </w:t>
      </w:r>
      <w:r>
        <w:t xml:space="preserve">Si el usuario acumula 5 intentos fallidos consecutivos, el sistema bloquea el inicio de sesión de esa cuenta durante 15 minutos y no revela cuál de los dos datos (documento o contraseña) fue incorrecto.</w:t>
      </w:r>
    </w:p>
    <w:p>
      <w:pPr>
        <w:pStyle w:val="Heading2"/>
        <w:spacing w:after="120" w:before="240"/>
      </w:pPr>
      <w:r>
        <w:t xml:space="preserve">Escenario 3 — Registro de usuario (RF-01)</w:t>
      </w:r>
    </w:p>
    <w:p>
      <w:pPr>
        <w:spacing w:after="120"/>
        <w:jc w:val="both"/>
      </w:pPr>
      <w:r>
        <w:rPr>
          <w:b/>
          <w:bCs/>
        </w:rPr>
        <w:t xml:space="preserve">Entrada: </w:t>
      </w:r>
      <w:r>
        <w:t xml:space="preserve">Una persona natural diligencia el formulario de registro con un número de documento que no existe en el sistema.</w:t>
      </w:r>
    </w:p>
    <w:p>
      <w:pPr>
        <w:spacing w:after="120"/>
        <w:jc w:val="both"/>
      </w:pPr>
      <w:r>
        <w:rPr>
          <w:b/>
          <w:bCs/>
        </w:rPr>
        <w:t xml:space="preserve">Resultado esperado: </w:t>
      </w:r>
      <w:r>
        <w:t xml:space="preserve">El sistema valida los datos, crea la cuenta, la activa automáticamente y la deja con saldo disponible en cero.</w:t>
      </w:r>
    </w:p>
    <w:p>
      <w:pPr>
        <w:spacing w:after="120"/>
        <w:jc w:val="both"/>
      </w:pPr>
      <w:r>
        <w:rPr>
          <w:b/>
          <w:bCs/>
        </w:rPr>
        <w:t xml:space="preserve">Excepción: </w:t>
      </w:r>
      <w:r>
        <w:t xml:space="preserve">Si el documento ingresado ya está registrado, el sistema rechaza el registro y muestra el mensaje “El documento ya se encuentra registrado”.</w:t>
      </w:r>
    </w:p>
    <w:p>
      <w:pPr>
        <w:pStyle w:val="Heading2"/>
        <w:spacing w:after="120" w:before="240"/>
      </w:pPr>
      <w:r>
        <w:t xml:space="preserve">Escenario 4 — Devolución de un movimiento por el administrador (RF-05, RN-05)</w:t>
      </w:r>
    </w:p>
    <w:p>
      <w:pPr>
        <w:spacing w:after="120"/>
        <w:jc w:val="both"/>
      </w:pPr>
      <w:r>
        <w:rPr>
          <w:b/>
          <w:bCs/>
        </w:rPr>
        <w:t xml:space="preserve">Entrada: </w:t>
      </w:r>
      <w:r>
        <w:t xml:space="preserve">El administrador busca un movimiento en estado “Completada” y solicita su devolución.</w:t>
      </w:r>
    </w:p>
    <w:p>
      <w:pPr>
        <w:spacing w:after="120"/>
        <w:jc w:val="both"/>
      </w:pPr>
      <w:r>
        <w:rPr>
          <w:b/>
          <w:bCs/>
        </w:rPr>
        <w:t xml:space="preserve">Resultado esperado: </w:t>
      </w:r>
      <w:r>
        <w:t xml:space="preserve">El sistema crea un nuevo movimiento de reversión enlazado al movimiento original, restablece los saldos afectados y notifica a los usuarios involucrados (RF-06).</w:t>
      </w:r>
    </w:p>
    <w:p>
      <w:pPr>
        <w:spacing w:after="120"/>
        <w:jc w:val="both"/>
      </w:pPr>
      <w:r>
        <w:rPr>
          <w:b/>
          <w:bCs/>
        </w:rPr>
        <w:t xml:space="preserve">Excepción: </w:t>
      </w:r>
      <w:r>
        <w:t xml:space="preserve">Si el movimiento seleccionado ya fue devuelto previamente, el sistema rechaza la nueva solicitud y muestra el mensaje “Este movimiento ya fue revertido”.</w:t>
      </w:r>
    </w:p>
    <w:p>
      <w:pPr>
        <w:pStyle w:val="Heading1"/>
        <w:spacing w:after="160" w:before="320"/>
      </w:pPr>
      <w:r>
        <w:t xml:space="preserve">10. Matriz de Trazabilidad</w:t>
      </w:r>
    </w:p>
    <w:p>
      <w:pPr>
        <w:spacing w:after="160"/>
        <w:jc w:val="both"/>
      </w:pPr>
      <w:r>
        <w:t xml:space="preserve">La siguiente matriz conecta cada necesidad expresada por el cliente en la entrevista con el requisito, el escenario y el diagrama donde queda formalizada, cerrando el vacío señalado en la retroalimentación entre el levantamiento y la especificación final.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1800"/>
        <w:gridCol w:w="1850"/>
      </w:tblGrid>
      <w:tr>
        <w:trPr>
          <w:tblHeader/>
        </w:trPr>
        <w:tc>
          <w:tcPr>
            <w:tcW w:type="dxa" w:w="2400"/>
            <w:shd w:fill="1F3864" w:val="clear"/>
            <w:tcMar>
              <w:top w:type="dxa" w:w="80"/>
              <w:left w:type="dxa" w:w="100"/>
              <w:bottom w:type="dxa" w:w="80"/>
              <w:right w:type="dxa" w:w="100"/>
            </w:tcMar>
            <w:vAlign w:val="center"/>
          </w:tcPr>
          <w:p>
            <w:pPr>
              <w:jc w:val="center"/>
            </w:pPr>
            <w:r>
              <w:rPr>
                <w:b/>
                <w:bCs/>
                <w:i w:val="false"/>
                <w:iCs w:val="false"/>
                <w:color w:val="FFFFFF"/>
              </w:rPr>
              <w:t xml:space="preserve">Necesidad del cliente</w:t>
            </w:r>
          </w:p>
        </w:tc>
        <w:tc>
          <w:tcPr>
            <w:tcW w:type="dxa" w:w="1500"/>
            <w:shd w:fill="1F3864" w:val="clear"/>
            <w:tcMar>
              <w:top w:type="dxa" w:w="80"/>
              <w:left w:type="dxa" w:w="100"/>
              <w:bottom w:type="dxa" w:w="80"/>
              <w:right w:type="dxa" w:w="100"/>
            </w:tcMar>
            <w:vAlign w:val="center"/>
          </w:tcPr>
          <w:p>
            <w:pPr>
              <w:jc w:val="center"/>
            </w:pPr>
            <w:r>
              <w:rPr>
                <w:b/>
                <w:bCs/>
                <w:i w:val="false"/>
                <w:iCs w:val="false"/>
                <w:color w:val="FFFFFF"/>
              </w:rPr>
              <w:t xml:space="preserve">Requisito(s)</w:t>
            </w:r>
          </w:p>
        </w:tc>
        <w:tc>
          <w:tcPr>
            <w:tcW w:type="dxa" w:w="1800"/>
            <w:shd w:fill="1F3864" w:val="clear"/>
            <w:tcMar>
              <w:top w:type="dxa" w:w="80"/>
              <w:left w:type="dxa" w:w="100"/>
              <w:bottom w:type="dxa" w:w="80"/>
              <w:right w:type="dxa" w:w="100"/>
            </w:tcMar>
            <w:vAlign w:val="center"/>
          </w:tcPr>
          <w:p>
            <w:pPr>
              <w:jc w:val="center"/>
            </w:pPr>
            <w:r>
              <w:rPr>
                <w:b/>
                <w:bCs/>
                <w:i w:val="false"/>
                <w:iCs w:val="false"/>
                <w:color w:val="FFFFFF"/>
              </w:rPr>
              <w:t xml:space="preserve">Escenario</w:t>
            </w:r>
          </w:p>
        </w:tc>
        <w:tc>
          <w:tcPr>
            <w:tcW w:type="dxa" w:w="1800"/>
            <w:shd w:fill="1F3864" w:val="clear"/>
            <w:tcMar>
              <w:top w:type="dxa" w:w="80"/>
              <w:left w:type="dxa" w:w="100"/>
              <w:bottom w:type="dxa" w:w="80"/>
              <w:right w:type="dxa" w:w="100"/>
            </w:tcMar>
            <w:vAlign w:val="center"/>
          </w:tcPr>
          <w:p>
            <w:pPr>
              <w:jc w:val="center"/>
            </w:pPr>
            <w:r>
              <w:rPr>
                <w:b/>
                <w:bCs/>
                <w:i w:val="false"/>
                <w:iCs w:val="false"/>
                <w:color w:val="FFFFFF"/>
              </w:rPr>
              <w:t xml:space="preserve">Diagrama</w:t>
            </w:r>
          </w:p>
        </w:tc>
        <w:tc>
          <w:tcPr>
            <w:tcW w:type="dxa" w:w="1850"/>
            <w:shd w:fill="1F3864" w:val="clear"/>
            <w:tcMar>
              <w:top w:type="dxa" w:w="80"/>
              <w:left w:type="dxa" w:w="100"/>
              <w:bottom w:type="dxa" w:w="80"/>
              <w:right w:type="dxa" w:w="100"/>
            </w:tcMar>
            <w:vAlign w:val="center"/>
          </w:tcPr>
          <w:p>
            <w:pPr>
              <w:jc w:val="center"/>
            </w:pPr>
            <w:r>
              <w:rPr>
                <w:b/>
                <w:bCs/>
                <w:i w:val="false"/>
                <w:iCs w:val="false"/>
                <w:color w:val="FFFFFF"/>
              </w:rPr>
              <w:t xml:space="preserve">Estado</w:t>
            </w:r>
          </w:p>
        </w:tc>
      </w:tr>
      <w:tr>
        <w:tc>
          <w:tcPr>
            <w:tcMar>
              <w:top w:type="dxa" w:w="80"/>
              <w:left w:type="dxa" w:w="100"/>
              <w:bottom w:type="dxa" w:w="80"/>
              <w:right w:type="dxa" w:w="100"/>
            </w:tcMar>
            <w:vAlign w:val="center"/>
          </w:tcPr>
          <w:p>
            <w:pPr>
              <w:jc w:val="left"/>
            </w:pPr>
            <w:r>
              <w:rPr>
                <w:b w:val="false"/>
                <w:bCs w:val="false"/>
                <w:i w:val="false"/>
                <w:iCs w:val="false"/>
                <w:color w:val="000000"/>
              </w:rPr>
              <w:t xml:space="preserve">Autogestión de cuenta, ahorro y transferencias</w:t>
            </w:r>
          </w:p>
        </w:tc>
        <w:tc>
          <w:tcPr>
            <w:tcMar>
              <w:top w:type="dxa" w:w="80"/>
              <w:left w:type="dxa" w:w="100"/>
              <w:bottom w:type="dxa" w:w="80"/>
              <w:right w:type="dxa" w:w="100"/>
            </w:tcMar>
            <w:vAlign w:val="center"/>
          </w:tcPr>
          <w:p>
            <w:pPr>
              <w:jc w:val="left"/>
            </w:pPr>
            <w:r>
              <w:rPr>
                <w:b w:val="false"/>
                <w:bCs w:val="false"/>
                <w:i w:val="false"/>
                <w:iCs w:val="false"/>
                <w:color w:val="000000"/>
              </w:rPr>
              <w:t xml:space="preserve">RF-01, RF-03, RF-04</w:t>
            </w:r>
          </w:p>
        </w:tc>
        <w:tc>
          <w:tcPr>
            <w:tcMar>
              <w:top w:type="dxa" w:w="80"/>
              <w:left w:type="dxa" w:w="100"/>
              <w:bottom w:type="dxa" w:w="80"/>
              <w:right w:type="dxa" w:w="100"/>
            </w:tcMar>
            <w:vAlign w:val="center"/>
          </w:tcPr>
          <w:p>
            <w:pPr>
              <w:jc w:val="left"/>
            </w:pPr>
            <w:r>
              <w:rPr>
                <w:b w:val="false"/>
                <w:bCs w:val="false"/>
                <w:i w:val="false"/>
                <w:iCs w:val="false"/>
                <w:color w:val="000000"/>
              </w:rPr>
              <w:t xml:space="preserve">Escenarios 1 y 3</w:t>
            </w:r>
          </w:p>
        </w:tc>
        <w:tc>
          <w:tcPr>
            <w:tcMar>
              <w:top w:type="dxa" w:w="80"/>
              <w:left w:type="dxa" w:w="100"/>
              <w:bottom w:type="dxa" w:w="80"/>
              <w:right w:type="dxa" w:w="100"/>
            </w:tcMar>
            <w:vAlign w:val="center"/>
          </w:tcPr>
          <w:p>
            <w:pPr>
              <w:jc w:val="left"/>
            </w:pPr>
            <w:r>
              <w:rPr>
                <w:b w:val="false"/>
                <w:bCs w:val="false"/>
                <w:i w:val="false"/>
                <w:iCs w:val="false"/>
                <w:color w:val="000000"/>
              </w:rPr>
              <w:t xml:space="preserve">DFD procesos 1.0, 3.0, 4.0</w:t>
            </w:r>
          </w:p>
        </w:tc>
        <w:tc>
          <w:tcPr>
            <w:tcMar>
              <w:top w:type="dxa" w:w="80"/>
              <w:left w:type="dxa" w:w="100"/>
              <w:bottom w:type="dxa" w:w="80"/>
              <w:right w:type="dxa" w:w="100"/>
            </w:tcMar>
            <w:vAlign w:val="center"/>
          </w:tcPr>
          <w:p>
            <w:pPr>
              <w:jc w:val="left"/>
            </w:pPr>
            <w:r>
              <w:rPr>
                <w:b w:val="false"/>
                <w:bCs w:val="false"/>
                <w:i w:val="false"/>
                <w:iCs w:val="false"/>
                <w:color w:val="000000"/>
              </w:rPr>
              <w:t xml:space="preserve">Cubierto</w:t>
            </w:r>
          </w:p>
        </w:tc>
      </w:tr>
      <w:tr>
        <w:tc>
          <w:tcPr>
            <w:tcMar>
              <w:top w:type="dxa" w:w="80"/>
              <w:left w:type="dxa" w:w="100"/>
              <w:bottom w:type="dxa" w:w="80"/>
              <w:right w:type="dxa" w:w="100"/>
            </w:tcMar>
            <w:vAlign w:val="center"/>
          </w:tcPr>
          <w:p>
            <w:pPr>
              <w:jc w:val="left"/>
            </w:pPr>
            <w:r>
              <w:rPr>
                <w:b w:val="false"/>
                <w:bCs w:val="false"/>
                <w:i w:val="false"/>
                <w:iCs w:val="false"/>
                <w:color w:val="000000"/>
              </w:rPr>
              <w:t xml:space="preserve">Notificaciones de transferencias y cambio de contraseña</w:t>
            </w:r>
          </w:p>
        </w:tc>
        <w:tc>
          <w:tcPr>
            <w:tcMar>
              <w:top w:type="dxa" w:w="80"/>
              <w:left w:type="dxa" w:w="100"/>
              <w:bottom w:type="dxa" w:w="80"/>
              <w:right w:type="dxa" w:w="100"/>
            </w:tcMar>
            <w:vAlign w:val="center"/>
          </w:tcPr>
          <w:p>
            <w:pPr>
              <w:jc w:val="left"/>
            </w:pPr>
            <w:r>
              <w:rPr>
                <w:b w:val="false"/>
                <w:bCs w:val="false"/>
                <w:i w:val="false"/>
                <w:iCs w:val="false"/>
                <w:color w:val="000000"/>
              </w:rPr>
              <w:t xml:space="preserve">RF-06</w:t>
            </w:r>
          </w:p>
        </w:tc>
        <w:tc>
          <w:tcPr>
            <w:tcMar>
              <w:top w:type="dxa" w:w="80"/>
              <w:left w:type="dxa" w:w="100"/>
              <w:bottom w:type="dxa" w:w="80"/>
              <w:right w:type="dxa" w:w="100"/>
            </w:tcMar>
            <w:vAlign w:val="center"/>
          </w:tcPr>
          <w:p>
            <w:pPr>
              <w:jc w:val="left"/>
            </w:pPr>
            <w:r>
              <w:rPr>
                <w:b w:val="false"/>
                <w:bCs w:val="false"/>
                <w:i w:val="false"/>
                <w:iCs w:val="false"/>
                <w:color w:val="000000"/>
              </w:rPr>
              <w:t xml:space="preserve">Escenario 1 (notificación)</w:t>
            </w:r>
          </w:p>
        </w:tc>
        <w:tc>
          <w:tcPr>
            <w:tcMar>
              <w:top w:type="dxa" w:w="80"/>
              <w:left w:type="dxa" w:w="100"/>
              <w:bottom w:type="dxa" w:w="80"/>
              <w:right w:type="dxa" w:w="100"/>
            </w:tcMar>
            <w:vAlign w:val="center"/>
          </w:tcPr>
          <w:p>
            <w:pPr>
              <w:jc w:val="left"/>
            </w:pPr>
            <w:r>
              <w:rPr>
                <w:b w:val="false"/>
                <w:bCs w:val="false"/>
                <w:i w:val="false"/>
                <w:iCs w:val="false"/>
                <w:color w:val="000000"/>
              </w:rPr>
              <w:t xml:space="preserve">Caso de uso “Recibir notificaciones”</w:t>
            </w:r>
          </w:p>
        </w:tc>
        <w:tc>
          <w:tcPr>
            <w:tcMar>
              <w:top w:type="dxa" w:w="80"/>
              <w:left w:type="dxa" w:w="100"/>
              <w:bottom w:type="dxa" w:w="80"/>
              <w:right w:type="dxa" w:w="100"/>
            </w:tcMar>
            <w:vAlign w:val="center"/>
          </w:tcPr>
          <w:p>
            <w:pPr>
              <w:jc w:val="left"/>
            </w:pPr>
            <w:r>
              <w:rPr>
                <w:b w:val="false"/>
                <w:bCs w:val="false"/>
                <w:i w:val="false"/>
                <w:iCs w:val="false"/>
                <w:color w:val="000000"/>
              </w:rPr>
              <w:t xml:space="preserve">Cubierto (antes no formalizado)</w:t>
            </w:r>
          </w:p>
        </w:tc>
      </w:tr>
      <w:tr>
        <w:tc>
          <w:tcPr>
            <w:tcMar>
              <w:top w:type="dxa" w:w="80"/>
              <w:left w:type="dxa" w:w="100"/>
              <w:bottom w:type="dxa" w:w="80"/>
              <w:right w:type="dxa" w:w="100"/>
            </w:tcMar>
            <w:vAlign w:val="center"/>
          </w:tcPr>
          <w:p>
            <w:pPr>
              <w:jc w:val="left"/>
            </w:pPr>
            <w:r>
              <w:rPr>
                <w:b w:val="false"/>
                <w:bCs w:val="false"/>
                <w:i w:val="false"/>
                <w:iCs w:val="false"/>
                <w:color w:val="000000"/>
              </w:rPr>
              <w:t xml:space="preserve">Reportes descargables de movimientos</w:t>
            </w:r>
          </w:p>
        </w:tc>
        <w:tc>
          <w:tcPr>
            <w:tcMar>
              <w:top w:type="dxa" w:w="80"/>
              <w:left w:type="dxa" w:w="100"/>
              <w:bottom w:type="dxa" w:w="80"/>
              <w:right w:type="dxa" w:w="100"/>
            </w:tcMar>
            <w:vAlign w:val="center"/>
          </w:tcPr>
          <w:p>
            <w:pPr>
              <w:jc w:val="left"/>
            </w:pPr>
            <w:r>
              <w:rPr>
                <w:b w:val="false"/>
                <w:bCs w:val="false"/>
                <w:i w:val="false"/>
                <w:iCs w:val="false"/>
                <w:color w:val="000000"/>
              </w:rPr>
              <w:t xml:space="preserve">RF-07</w:t>
            </w:r>
          </w:p>
        </w:tc>
        <w:tc>
          <w:tcPr>
            <w:tcMar>
              <w:top w:type="dxa" w:w="80"/>
              <w:left w:type="dxa" w:w="100"/>
              <w:bottom w:type="dxa" w:w="80"/>
              <w:right w:type="dxa" w:w="100"/>
            </w:tcMar>
            <w:vAlign w:val="center"/>
          </w:tcPr>
          <w:p>
            <w:pPr>
              <w:jc w:val="left"/>
            </w:pPr>
            <w:r>
              <w:rPr>
                <w:b w:val="false"/>
                <w:bCs w:val="false"/>
                <w:i w:val="false"/>
                <w:iCs w:val="false"/>
                <w:color w:val="000000"/>
              </w:rPr>
              <w:t xml:space="preserve">—</w:t>
            </w:r>
          </w:p>
        </w:tc>
        <w:tc>
          <w:tcPr>
            <w:tcMar>
              <w:top w:type="dxa" w:w="80"/>
              <w:left w:type="dxa" w:w="100"/>
              <w:bottom w:type="dxa" w:w="80"/>
              <w:right w:type="dxa" w:w="100"/>
            </w:tcMar>
            <w:vAlign w:val="center"/>
          </w:tcPr>
          <w:p>
            <w:pPr>
              <w:jc w:val="left"/>
            </w:pPr>
            <w:r>
              <w:rPr>
                <w:b w:val="false"/>
                <w:bCs w:val="false"/>
                <w:i w:val="false"/>
                <w:iCs w:val="false"/>
                <w:color w:val="000000"/>
              </w:rPr>
              <w:t xml:space="preserve">Caso de uso “Descargar reporte”</w:t>
            </w:r>
          </w:p>
        </w:tc>
        <w:tc>
          <w:tcPr>
            <w:tcMar>
              <w:top w:type="dxa" w:w="80"/>
              <w:left w:type="dxa" w:w="100"/>
              <w:bottom w:type="dxa" w:w="80"/>
              <w:right w:type="dxa" w:w="100"/>
            </w:tcMar>
            <w:vAlign w:val="center"/>
          </w:tcPr>
          <w:p>
            <w:pPr>
              <w:jc w:val="left"/>
            </w:pPr>
            <w:r>
              <w:rPr>
                <w:b w:val="false"/>
                <w:bCs w:val="false"/>
                <w:i w:val="false"/>
                <w:iCs w:val="false"/>
                <w:color w:val="000000"/>
              </w:rPr>
              <w:t xml:space="preserve">Cubierto (antes no formalizado)</w:t>
            </w:r>
          </w:p>
        </w:tc>
      </w:tr>
      <w:tr>
        <w:tc>
          <w:tcPr>
            <w:tcMar>
              <w:top w:type="dxa" w:w="80"/>
              <w:left w:type="dxa" w:w="100"/>
              <w:bottom w:type="dxa" w:w="80"/>
              <w:right w:type="dxa" w:w="100"/>
            </w:tcMar>
            <w:vAlign w:val="center"/>
          </w:tcPr>
          <w:p>
            <w:pPr>
              <w:jc w:val="left"/>
            </w:pPr>
            <w:r>
              <w:rPr>
                <w:b w:val="false"/>
                <w:bCs w:val="false"/>
                <w:i w:val="false"/>
                <w:iCs w:val="false"/>
                <w:color w:val="000000"/>
              </w:rPr>
              <w:t xml:space="preserve">Dashboard contable detallado</w:t>
            </w:r>
          </w:p>
        </w:tc>
        <w:tc>
          <w:tcPr>
            <w:tcMar>
              <w:top w:type="dxa" w:w="80"/>
              <w:left w:type="dxa" w:w="100"/>
              <w:bottom w:type="dxa" w:w="80"/>
              <w:right w:type="dxa" w:w="100"/>
            </w:tcMar>
            <w:vAlign w:val="center"/>
          </w:tcPr>
          <w:p>
            <w:pPr>
              <w:jc w:val="left"/>
            </w:pPr>
            <w:r>
              <w:rPr>
                <w:b w:val="false"/>
                <w:bCs w:val="false"/>
                <w:i w:val="false"/>
                <w:iCs w:val="false"/>
                <w:color w:val="000000"/>
              </w:rPr>
              <w:t xml:space="preserve">RF-08</w:t>
            </w:r>
          </w:p>
        </w:tc>
        <w:tc>
          <w:tcPr>
            <w:tcMar>
              <w:top w:type="dxa" w:w="80"/>
              <w:left w:type="dxa" w:w="100"/>
              <w:bottom w:type="dxa" w:w="80"/>
              <w:right w:type="dxa" w:w="100"/>
            </w:tcMar>
            <w:vAlign w:val="center"/>
          </w:tcPr>
          <w:p>
            <w:pPr>
              <w:jc w:val="left"/>
            </w:pPr>
            <w:r>
              <w:rPr>
                <w:b w:val="false"/>
                <w:bCs w:val="false"/>
                <w:i w:val="false"/>
                <w:iCs w:val="false"/>
                <w:color w:val="000000"/>
              </w:rPr>
              <w:t xml:space="preserve">—</w:t>
            </w:r>
          </w:p>
        </w:tc>
        <w:tc>
          <w:tcPr>
            <w:tcMar>
              <w:top w:type="dxa" w:w="80"/>
              <w:left w:type="dxa" w:w="100"/>
              <w:bottom w:type="dxa" w:w="80"/>
              <w:right w:type="dxa" w:w="100"/>
            </w:tcMar>
            <w:vAlign w:val="center"/>
          </w:tcPr>
          <w:p>
            <w:pPr>
              <w:jc w:val="left"/>
            </w:pPr>
            <w:r>
              <w:rPr>
                <w:b w:val="false"/>
                <w:bCs w:val="false"/>
                <w:i w:val="false"/>
                <w:iCs w:val="false"/>
                <w:color w:val="000000"/>
              </w:rPr>
              <w:t xml:space="preserve">Caso de uso “Consultar información contable y de auditoría”</w:t>
            </w:r>
          </w:p>
        </w:tc>
        <w:tc>
          <w:tcPr>
            <w:tcMar>
              <w:top w:type="dxa" w:w="80"/>
              <w:left w:type="dxa" w:w="100"/>
              <w:bottom w:type="dxa" w:w="80"/>
              <w:right w:type="dxa" w:w="100"/>
            </w:tcMar>
            <w:vAlign w:val="center"/>
          </w:tcPr>
          <w:p>
            <w:pPr>
              <w:jc w:val="left"/>
            </w:pPr>
            <w:r>
              <w:rPr>
                <w:b w:val="false"/>
                <w:bCs w:val="false"/>
                <w:i w:val="false"/>
                <w:iCs w:val="false"/>
                <w:color w:val="000000"/>
              </w:rPr>
              <w:t xml:space="preserve">Cubierto (antes no formalizado)</w:t>
            </w:r>
          </w:p>
        </w:tc>
      </w:tr>
      <w:tr>
        <w:tc>
          <w:tcPr>
            <w:tcMar>
              <w:top w:type="dxa" w:w="80"/>
              <w:left w:type="dxa" w:w="100"/>
              <w:bottom w:type="dxa" w:w="80"/>
              <w:right w:type="dxa" w:w="100"/>
            </w:tcMar>
            <w:vAlign w:val="center"/>
          </w:tcPr>
          <w:p>
            <w:pPr>
              <w:jc w:val="left"/>
            </w:pPr>
            <w:r>
              <w:rPr>
                <w:b w:val="false"/>
                <w:bCs w:val="false"/>
                <w:i w:val="false"/>
                <w:iCs w:val="false"/>
                <w:color w:val="000000"/>
              </w:rPr>
              <w:t xml:space="preserve">Gestión administrativa (bloqueo, devoluciones, historial)</w:t>
            </w:r>
          </w:p>
        </w:tc>
        <w:tc>
          <w:tcPr>
            <w:tcMar>
              <w:top w:type="dxa" w:w="80"/>
              <w:left w:type="dxa" w:w="100"/>
              <w:bottom w:type="dxa" w:w="80"/>
              <w:right w:type="dxa" w:w="100"/>
            </w:tcMar>
            <w:vAlign w:val="center"/>
          </w:tcPr>
          <w:p>
            <w:pPr>
              <w:jc w:val="left"/>
            </w:pPr>
            <w:r>
              <w:rPr>
                <w:b w:val="false"/>
                <w:bCs w:val="false"/>
                <w:i w:val="false"/>
                <w:iCs w:val="false"/>
                <w:color w:val="000000"/>
              </w:rPr>
              <w:t xml:space="preserve">RF-05, RN-04, RN-05</w:t>
            </w:r>
          </w:p>
        </w:tc>
        <w:tc>
          <w:tcPr>
            <w:tcMar>
              <w:top w:type="dxa" w:w="80"/>
              <w:left w:type="dxa" w:w="100"/>
              <w:bottom w:type="dxa" w:w="80"/>
              <w:right w:type="dxa" w:w="100"/>
            </w:tcMar>
            <w:vAlign w:val="center"/>
          </w:tcPr>
          <w:p>
            <w:pPr>
              <w:jc w:val="left"/>
            </w:pPr>
            <w:r>
              <w:rPr>
                <w:b w:val="false"/>
                <w:bCs w:val="false"/>
                <w:i w:val="false"/>
                <w:iCs w:val="false"/>
                <w:color w:val="000000"/>
              </w:rPr>
              <w:t xml:space="preserve">Escenario 4</w:t>
            </w:r>
          </w:p>
        </w:tc>
        <w:tc>
          <w:tcPr>
            <w:tcMar>
              <w:top w:type="dxa" w:w="80"/>
              <w:left w:type="dxa" w:w="100"/>
              <w:bottom w:type="dxa" w:w="80"/>
              <w:right w:type="dxa" w:w="100"/>
            </w:tcMar>
            <w:vAlign w:val="center"/>
          </w:tcPr>
          <w:p>
            <w:pPr>
              <w:jc w:val="left"/>
            </w:pPr>
            <w:r>
              <w:rPr>
                <w:b w:val="false"/>
                <w:bCs w:val="false"/>
                <w:i w:val="false"/>
                <w:iCs w:val="false"/>
                <w:color w:val="000000"/>
              </w:rPr>
              <w:t xml:space="preserve">DFD proceso 5.0; caso de uso “Cancelar o devolver movimiento”</w:t>
            </w:r>
          </w:p>
        </w:tc>
        <w:tc>
          <w:tcPr>
            <w:tcMar>
              <w:top w:type="dxa" w:w="80"/>
              <w:left w:type="dxa" w:w="100"/>
              <w:bottom w:type="dxa" w:w="80"/>
              <w:right w:type="dxa" w:w="100"/>
            </w:tcMar>
            <w:vAlign w:val="center"/>
          </w:tcPr>
          <w:p>
            <w:pPr>
              <w:jc w:val="left"/>
            </w:pPr>
            <w:r>
              <w:rPr>
                <w:b w:val="false"/>
                <w:bCs w:val="false"/>
                <w:i w:val="false"/>
                <w:iCs w:val="false"/>
                <w:color w:val="000000"/>
              </w:rPr>
              <w:t xml:space="preserve">Cubierto</w:t>
            </w:r>
          </w:p>
        </w:tc>
      </w:tr>
      <w:tr>
        <w:tc>
          <w:tcPr>
            <w:tcMar>
              <w:top w:type="dxa" w:w="80"/>
              <w:left w:type="dxa" w:w="100"/>
              <w:bottom w:type="dxa" w:w="80"/>
              <w:right w:type="dxa" w:w="100"/>
            </w:tcMar>
            <w:vAlign w:val="center"/>
          </w:tcPr>
          <w:p>
            <w:pPr>
              <w:jc w:val="left"/>
            </w:pPr>
            <w:r>
              <w:rPr>
                <w:b w:val="false"/>
                <w:bCs w:val="false"/>
                <w:i w:val="false"/>
                <w:iCs w:val="false"/>
                <w:color w:val="000000"/>
              </w:rPr>
              <w:t xml:space="preserve">Seguridad de sesión y autenticación</w:t>
            </w:r>
          </w:p>
        </w:tc>
        <w:tc>
          <w:tcPr>
            <w:tcMar>
              <w:top w:type="dxa" w:w="80"/>
              <w:left w:type="dxa" w:w="100"/>
              <w:bottom w:type="dxa" w:w="80"/>
              <w:right w:type="dxa" w:w="100"/>
            </w:tcMar>
            <w:vAlign w:val="center"/>
          </w:tcPr>
          <w:p>
            <w:pPr>
              <w:jc w:val="left"/>
            </w:pPr>
            <w:r>
              <w:rPr>
                <w:b w:val="false"/>
                <w:bCs w:val="false"/>
                <w:i w:val="false"/>
                <w:iCs w:val="false"/>
                <w:color w:val="000000"/>
              </w:rPr>
              <w:t xml:space="preserve">RNF-01, RNF-02</w:t>
            </w:r>
          </w:p>
        </w:tc>
        <w:tc>
          <w:tcPr>
            <w:tcMar>
              <w:top w:type="dxa" w:w="80"/>
              <w:left w:type="dxa" w:w="100"/>
              <w:bottom w:type="dxa" w:w="80"/>
              <w:right w:type="dxa" w:w="100"/>
            </w:tcMar>
            <w:vAlign w:val="center"/>
          </w:tcPr>
          <w:p>
            <w:pPr>
              <w:jc w:val="left"/>
            </w:pPr>
            <w:r>
              <w:rPr>
                <w:b w:val="false"/>
                <w:bCs w:val="false"/>
                <w:i w:val="false"/>
                <w:iCs w:val="false"/>
                <w:color w:val="000000"/>
              </w:rPr>
              <w:t xml:space="preserve">Escenario 2</w:t>
            </w:r>
          </w:p>
        </w:tc>
        <w:tc>
          <w:tcPr>
            <w:tcMar>
              <w:top w:type="dxa" w:w="80"/>
              <w:left w:type="dxa" w:w="100"/>
              <w:bottom w:type="dxa" w:w="80"/>
              <w:right w:type="dxa" w:w="100"/>
            </w:tcMar>
            <w:vAlign w:val="center"/>
          </w:tcPr>
          <w:p>
            <w:pPr>
              <w:jc w:val="left"/>
            </w:pPr>
            <w:r>
              <w:rPr>
                <w:b w:val="false"/>
                <w:bCs w:val="false"/>
                <w:i w:val="false"/>
                <w:iCs w:val="false"/>
                <w:color w:val="000000"/>
              </w:rPr>
              <w:t xml:space="preserve">DFD proceso 2.0</w:t>
            </w:r>
          </w:p>
        </w:tc>
        <w:tc>
          <w:tcPr>
            <w:tcMar>
              <w:top w:type="dxa" w:w="80"/>
              <w:left w:type="dxa" w:w="100"/>
              <w:bottom w:type="dxa" w:w="80"/>
              <w:right w:type="dxa" w:w="100"/>
            </w:tcMar>
            <w:vAlign w:val="center"/>
          </w:tcPr>
          <w:p>
            <w:pPr>
              <w:jc w:val="left"/>
            </w:pPr>
            <w:r>
              <w:rPr>
                <w:b w:val="false"/>
                <w:bCs w:val="false"/>
                <w:i w:val="false"/>
                <w:iCs w:val="false"/>
                <w:color w:val="000000"/>
              </w:rPr>
              <w:t xml:space="preserve">Cubierto</w:t>
            </w:r>
          </w:p>
        </w:tc>
      </w:tr>
    </w:tbl>
    <w:p>
      <w:pPr>
        <w:spacing w:after="160"/>
      </w:pPr>
    </w:p>
    <w:p>
      <w:pPr>
        <w:pStyle w:val="Heading1"/>
        <w:spacing w:after="160" w:before="320"/>
      </w:pPr>
      <w:r>
        <w:t xml:space="preserve">11. Validación del Cliente</w:t>
      </w:r>
    </w:p>
    <w:p>
      <w:pPr>
        <w:spacing w:after="160"/>
        <w:jc w:val="both"/>
      </w:pPr>
      <w:r>
        <w:t xml:space="preserve">Para dejar constancia de que FINTEC revisó y aceptó la presente especificación antes de iniciar el desarrollo del prototipo, se incorpora la siguiente acta de validación, que debe diligenciarse y firmarse con el representante del cliente.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5"/>
        <w:gridCol w:w="6175"/>
      </w:tblGrid>
      <w:tr>
        <w:tc>
          <w:tcPr>
            <w:shd w:fill="EAF1FB" w:val="clear"/>
            <w:tcMar>
              <w:top w:type="dxa" w:w="80"/>
              <w:left w:type="dxa" w:w="100"/>
              <w:bottom w:type="dxa" w:w="80"/>
              <w:right w:type="dxa" w:w="100"/>
            </w:tcMar>
            <w:vAlign w:val="center"/>
          </w:tcPr>
          <w:p>
            <w:pPr>
              <w:jc w:val="left"/>
            </w:pPr>
            <w:r>
              <w:rPr>
                <w:b/>
                <w:bCs/>
                <w:i w:val="false"/>
                <w:iCs w:val="false"/>
                <w:color w:val="1F3864"/>
              </w:rPr>
              <w:t xml:space="preserve">Fecha de validación</w:t>
            </w:r>
          </w:p>
        </w:tc>
        <w:tc>
          <w:tcPr>
            <w:tcMar>
              <w:top w:type="dxa" w:w="80"/>
              <w:left w:type="dxa" w:w="100"/>
              <w:bottom w:type="dxa" w:w="80"/>
              <w:right w:type="dxa" w:w="100"/>
            </w:tcMar>
            <w:vAlign w:val="center"/>
          </w:tcPr>
          <w:p>
            <w:pPr>
              <w:jc w:val="left"/>
            </w:pPr>
            <w:r>
              <w:rPr>
                <w:b w:val="false"/>
                <w:bCs w:val="false"/>
                <w:i w:val="false"/>
                <w:iCs w:val="false"/>
                <w:color w:val="000000"/>
              </w:rPr>
              <w:t xml:space="preserve"/>
            </w:r>
          </w:p>
        </w:tc>
      </w:tr>
      <w:tr>
        <w:tc>
          <w:tcPr>
            <w:shd w:fill="EAF1FB" w:val="clear"/>
            <w:tcMar>
              <w:top w:type="dxa" w:w="80"/>
              <w:left w:type="dxa" w:w="100"/>
              <w:bottom w:type="dxa" w:w="80"/>
              <w:right w:type="dxa" w:w="100"/>
            </w:tcMar>
            <w:vAlign w:val="center"/>
          </w:tcPr>
          <w:p>
            <w:pPr>
              <w:jc w:val="left"/>
            </w:pPr>
            <w:r>
              <w:rPr>
                <w:b/>
                <w:bCs/>
                <w:i w:val="false"/>
                <w:iCs w:val="false"/>
                <w:color w:val="1F3864"/>
              </w:rPr>
              <w:t xml:space="preserve">Nombre del representante de FINTEC</w:t>
            </w:r>
          </w:p>
        </w:tc>
        <w:tc>
          <w:tcPr>
            <w:tcMar>
              <w:top w:type="dxa" w:w="80"/>
              <w:left w:type="dxa" w:w="100"/>
              <w:bottom w:type="dxa" w:w="80"/>
              <w:right w:type="dxa" w:w="100"/>
            </w:tcMar>
            <w:vAlign w:val="center"/>
          </w:tcPr>
          <w:p>
            <w:pPr>
              <w:jc w:val="left"/>
            </w:pPr>
            <w:r>
              <w:rPr>
                <w:b w:val="false"/>
                <w:bCs w:val="false"/>
                <w:i w:val="false"/>
                <w:iCs w:val="false"/>
                <w:color w:val="000000"/>
              </w:rPr>
              <w:t xml:space="preserve"/>
            </w:r>
          </w:p>
        </w:tc>
      </w:tr>
      <w:tr>
        <w:tc>
          <w:tcPr>
            <w:shd w:fill="EAF1FB" w:val="clear"/>
            <w:tcMar>
              <w:top w:type="dxa" w:w="80"/>
              <w:left w:type="dxa" w:w="100"/>
              <w:bottom w:type="dxa" w:w="80"/>
              <w:right w:type="dxa" w:w="100"/>
            </w:tcMar>
            <w:vAlign w:val="center"/>
          </w:tcPr>
          <w:p>
            <w:pPr>
              <w:jc w:val="left"/>
            </w:pPr>
            <w:r>
              <w:rPr>
                <w:b/>
                <w:bCs/>
                <w:i w:val="false"/>
                <w:iCs w:val="false"/>
                <w:color w:val="1F3864"/>
              </w:rPr>
              <w:t xml:space="preserve">Cargo</w:t>
            </w:r>
          </w:p>
        </w:tc>
        <w:tc>
          <w:tcPr>
            <w:tcMar>
              <w:top w:type="dxa" w:w="80"/>
              <w:left w:type="dxa" w:w="100"/>
              <w:bottom w:type="dxa" w:w="80"/>
              <w:right w:type="dxa" w:w="100"/>
            </w:tcMar>
            <w:vAlign w:val="center"/>
          </w:tcPr>
          <w:p>
            <w:pPr>
              <w:jc w:val="left"/>
            </w:pPr>
            <w:r>
              <w:rPr>
                <w:b w:val="false"/>
                <w:bCs w:val="false"/>
                <w:i w:val="false"/>
                <w:iCs w:val="false"/>
                <w:color w:val="000000"/>
              </w:rPr>
              <w:t xml:space="preserve"/>
            </w:r>
          </w:p>
        </w:tc>
      </w:tr>
      <w:tr>
        <w:tc>
          <w:tcPr>
            <w:shd w:fill="EAF1FB" w:val="clear"/>
            <w:tcMar>
              <w:top w:type="dxa" w:w="80"/>
              <w:left w:type="dxa" w:w="100"/>
              <w:bottom w:type="dxa" w:w="80"/>
              <w:right w:type="dxa" w:w="100"/>
            </w:tcMar>
            <w:vAlign w:val="center"/>
          </w:tcPr>
          <w:p>
            <w:pPr>
              <w:jc w:val="left"/>
            </w:pPr>
            <w:r>
              <w:rPr>
                <w:b/>
                <w:bCs/>
                <w:i w:val="false"/>
                <w:iCs w:val="false"/>
                <w:color w:val="1F3864"/>
              </w:rPr>
              <w:t xml:space="preserve">Secciones validadas</w:t>
            </w:r>
          </w:p>
        </w:tc>
        <w:tc>
          <w:tcPr>
            <w:tcMar>
              <w:top w:type="dxa" w:w="80"/>
              <w:left w:type="dxa" w:w="100"/>
              <w:bottom w:type="dxa" w:w="80"/>
              <w:right w:type="dxa" w:w="100"/>
            </w:tcMar>
            <w:vAlign w:val="center"/>
          </w:tcPr>
          <w:p>
            <w:pPr>
              <w:jc w:val="left"/>
            </w:pPr>
            <w:r>
              <w:rPr>
                <w:b w:val="false"/>
                <w:bCs w:val="false"/>
                <w:i w:val="false"/>
                <w:iCs w:val="false"/>
                <w:color w:val="000000"/>
              </w:rPr>
              <w:t xml:space="preserve">Alcance, roles, requisitos funcionales, requisitos no funcionales, reglas de negocio</w:t>
            </w:r>
          </w:p>
        </w:tc>
      </w:tr>
      <w:tr>
        <w:tc>
          <w:tcPr>
            <w:shd w:fill="EAF1FB" w:val="clear"/>
            <w:tcMar>
              <w:top w:type="dxa" w:w="80"/>
              <w:left w:type="dxa" w:w="100"/>
              <w:bottom w:type="dxa" w:w="80"/>
              <w:right w:type="dxa" w:w="100"/>
            </w:tcMar>
            <w:vAlign w:val="center"/>
          </w:tcPr>
          <w:p>
            <w:pPr>
              <w:jc w:val="left"/>
            </w:pPr>
            <w:r>
              <w:rPr>
                <w:b/>
                <w:bCs/>
                <w:i w:val="false"/>
                <w:iCs w:val="false"/>
                <w:color w:val="1F3864"/>
              </w:rPr>
              <w:t xml:space="preserve">Observaciones del cliente</w:t>
            </w:r>
          </w:p>
        </w:tc>
        <w:tc>
          <w:tcPr>
            <w:tcMar>
              <w:top w:type="dxa" w:w="80"/>
              <w:left w:type="dxa" w:w="100"/>
              <w:bottom w:type="dxa" w:w="80"/>
              <w:right w:type="dxa" w:w="100"/>
            </w:tcMar>
            <w:vAlign w:val="center"/>
          </w:tcPr>
          <w:p>
            <w:pPr>
              <w:jc w:val="left"/>
            </w:pPr>
            <w:r>
              <w:rPr>
                <w:b w:val="false"/>
                <w:bCs w:val="false"/>
                <w:i w:val="false"/>
                <w:iCs w:val="false"/>
                <w:color w:val="000000"/>
              </w:rPr>
              <w:t xml:space="preserve"/>
            </w:r>
          </w:p>
        </w:tc>
      </w:tr>
      <w:tr>
        <w:tc>
          <w:tcPr>
            <w:shd w:fill="EAF1FB" w:val="clear"/>
            <w:tcMar>
              <w:top w:type="dxa" w:w="80"/>
              <w:left w:type="dxa" w:w="100"/>
              <w:bottom w:type="dxa" w:w="80"/>
              <w:right w:type="dxa" w:w="100"/>
            </w:tcMar>
            <w:vAlign w:val="center"/>
          </w:tcPr>
          <w:p>
            <w:pPr>
              <w:jc w:val="left"/>
            </w:pPr>
            <w:r>
              <w:rPr>
                <w:b/>
                <w:bCs/>
                <w:i w:val="false"/>
                <w:iCs w:val="false"/>
                <w:color w:val="1F3864"/>
              </w:rPr>
              <w:t xml:space="preserve">Firma</w:t>
            </w:r>
          </w:p>
        </w:tc>
        <w:tc>
          <w:tcPr>
            <w:tcMar>
              <w:top w:type="dxa" w:w="80"/>
              <w:left w:type="dxa" w:w="100"/>
              <w:bottom w:type="dxa" w:w="80"/>
              <w:right w:type="dxa" w:w="100"/>
            </w:tcMar>
            <w:vAlign w:val="center"/>
          </w:tcPr>
          <w:p>
            <w:pPr>
              <w:jc w:val="left"/>
            </w:pPr>
            <w:r>
              <w:rPr>
                <w:b w:val="false"/>
                <w:bCs w:val="false"/>
                <w:i w:val="false"/>
                <w:iCs w:val="false"/>
                <w:color w:val="000000"/>
              </w:rPr>
              <w:t xml:space="preserve"/>
            </w:r>
          </w:p>
        </w:tc>
      </w:tr>
    </w:tbl>
    <w:p>
      <w:pPr>
        <w:spacing w:after="160"/>
      </w:pPr>
    </w:p>
    <w:p>
      <w:pPr>
        <w:pBdr>
          <w:left w:val="single" w:color="BF9000" w:sz="24"/>
        </w:pBdr>
        <w:shd w:fill="FFF2CC" w:val="clear"/>
        <w:spacing w:after="200" w:before="120"/>
      </w:pPr>
      <w:r>
        <w:rPr>
          <w:i/>
          <w:iCs/>
        </w:rPr>
        <w:t xml:space="preserve">Nota: este documento debe quedar firmado por el cliente antes de dar inicio al primer incremento de desarrollo. Cualquier observación registrada aquí se gestiona mediante el procedimiento de control de cambios descrito en la sección 2.3.</w:t>
      </w:r>
    </w:p>
    <w:p>
      <w:pPr>
        <w:pStyle w:val="Heading1"/>
        <w:spacing w:after="160" w:before="320"/>
      </w:pPr>
      <w:r>
        <w:t xml:space="preserve">12. Referencias</w:t>
      </w:r>
    </w:p>
    <w:p>
      <w:pPr>
        <w:spacing w:after="160"/>
        <w:jc w:val="both"/>
      </w:pPr>
      <w:r>
        <w:t xml:space="preserve">International Organization for Standardization. (2011). ISO/IEC 25010:2011 — Systems and software engineering — Systems and software Quality Requirements and Evaluation (SQuaRE). ISO.</w:t>
      </w:r>
    </w:p>
    <w:p>
      <w:pPr>
        <w:spacing w:after="160"/>
        <w:jc w:val="both"/>
      </w:pPr>
      <w:r>
        <w:t xml:space="preserve">ISO/IEC/IEEE. (2018). ISO/IEC/IEEE 29148:2018 — Systems and software engineering — Life cycle processes — Requirements engineering. IEEE.</w:t>
      </w:r>
    </w:p>
    <w:p>
      <w:pPr>
        <w:spacing w:after="160"/>
        <w:jc w:val="both"/>
      </w:pPr>
      <w:r>
        <w:t xml:space="preserve">Object Management Group. (2017). OMG Unified Modeling Language (UML), Version 2.5.1. OMG.</w:t>
      </w:r>
    </w:p>
    <w:p>
      <w:pPr>
        <w:spacing w:after="160"/>
        <w:jc w:val="both"/>
      </w:pPr>
      <w:r>
        <w:t xml:space="preserve">Sommerville, I. (2016). Software Engineering (10.ª ed.). Pearson.</w:t>
      </w:r>
    </w:p>
    <w:p>
      <w:pPr>
        <w:spacing w:after="160"/>
        <w:jc w:val="both"/>
      </w:pPr>
      <w:r>
        <w:t xml:space="preserve">Microsoft. (2026). Copilot (versión web) [Herramienta de inteligencia artificial]. Microsoft. Utilizada como apoyo para estructurar el formato de la entrevista con el cliente.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b/>
      <w:bCs/>
      <w:color w:val="1F3864"/>
      <w:sz w:val="30"/>
      <w:szCs w:val="30"/>
    </w:rPr>
  </w:style>
  <w:style w:type="paragraph" w:styleId="Heading2">
    <w:name w:val="Heading 2"/>
    <w:basedOn w:val="Normal"/>
    <w:next w:val="Normal"/>
    <w:pPr>
      <w:spacing w:after="120" w:before="240"/>
      <w:outlineLvl w:val="1"/>
    </w:pPr>
    <w:rPr>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foajmmzk_6rf7qcvpodc" Type="http://schemas.openxmlformats.org/officeDocument/2006/relationships/hyperlink" Target="https://drive.google.com/file/d/1FfW6vHS40mz8euVaIZXOtp1oPet_g3kS/view?usp=sharing" TargetMode="External"/><Relationship Id="rId7" Type="http://schemas.openxmlformats.org/officeDocument/2006/relationships/image" Target="media/59aef244834b6463f59c49557fcf631c56ed8618.jpg"/><Relationship Id="rId8" Type="http://schemas.openxmlformats.org/officeDocument/2006/relationships/image" Target="media/b01fed86a19f39a6c54fa3b4cadaa725497fbf03.jpg"/><Relationship Id="rId9" Type="http://schemas.openxmlformats.org/officeDocument/2006/relationships/image" Target="media/b66f5fe9131b34f249342b9364ea830b2ebad5b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2026-09-16T00:48:24.735Z</dcterms:created>
  <dcterms:modified xsi:type="dcterms:W3CDTF">2026-09-16T00:48:24.744Z</dcterms:modified>
</cp:coreProperties>
</file>

<file path=docProps/custom.xml><?xml version="1.0" encoding="utf-8"?>
<Properties xmlns="http://schemas.openxmlformats.org/officeDocument/2006/custom-properties" xmlns:vt="http://schemas.openxmlformats.org/officeDocument/2006/docPropsVTypes"/>
</file>