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1"/>
        <w:widowControl w:val="0"/>
        <w:ind w:right="46"/>
        <w:jc w:val="center"/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Facultad de Ingeniería y Ciencias</w:t>
        <w:br w:type="textWrapping"/>
        <w:t xml:space="preserve">Escuela de Informática y Telecomunicaciones</w:t>
      </w:r>
    </w:p>
    <w:p w:rsidR="00000000" w:rsidDel="00000000" w:rsidP="00000000" w:rsidRDefault="00000000" w:rsidRPr="00000000" w14:paraId="00000002">
      <w:pPr>
        <w:widowControl w:val="0"/>
        <w:ind w:right="46"/>
        <w:jc w:val="center"/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right="46"/>
        <w:jc w:val="center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PROGRAMA DE ASIGNATURA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right="46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Inteligencia artificial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ind w:right="46"/>
        <w:jc w:val="both"/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jc w:val="both"/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Identificación de la asignatura:</w:t>
        <w:br w:type="textWrapping"/>
      </w:r>
    </w:p>
    <w:tbl>
      <w:tblPr>
        <w:tblStyle w:val="Table1"/>
        <w:tblW w:w="8835.0" w:type="dxa"/>
        <w:jc w:val="left"/>
        <w:tblLayout w:type="fixed"/>
        <w:tblLook w:val="0600"/>
      </w:tblPr>
      <w:tblGrid>
        <w:gridCol w:w="3885"/>
        <w:gridCol w:w="4950"/>
        <w:tblGridChange w:id="0">
          <w:tblGrid>
            <w:gridCol w:w="3885"/>
            <w:gridCol w:w="495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both"/>
              <w:rPr>
                <w:rFonts w:ascii="Arial" w:cs="Arial" w:eastAsia="Arial" w:hAnsi="Arial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rtl w:val="0"/>
              </w:rPr>
              <w:t xml:space="preserve">Nombre de la Asignatura: Inteligencia artificial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both"/>
              <w:rPr>
                <w:rFonts w:ascii="Arial" w:cs="Arial" w:eastAsia="Arial" w:hAnsi="Arial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rtl w:val="0"/>
              </w:rPr>
              <w:t xml:space="preserve">Códigos: CIT-2313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both"/>
              <w:rPr>
                <w:rFonts w:ascii="Arial" w:cs="Arial" w:eastAsia="Arial" w:hAnsi="Arial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rtl w:val="0"/>
              </w:rPr>
              <w:t xml:space="preserve">Créditos: 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rFonts w:ascii="Arial" w:cs="Arial" w:eastAsia="Arial" w:hAnsi="Arial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rtl w:val="0"/>
              </w:rPr>
              <w:t xml:space="preserve">Duración: Semestral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rFonts w:ascii="Arial" w:cs="Arial" w:eastAsia="Arial" w:hAnsi="Arial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rtl w:val="0"/>
              </w:rPr>
              <w:t xml:space="preserve">Ubicación en el plan de estudios: Semestre 7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rFonts w:ascii="Arial" w:cs="Arial" w:eastAsia="Arial" w:hAnsi="Arial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rtl w:val="0"/>
              </w:rPr>
              <w:t xml:space="preserve">Requisitos: CIT-2504 Probabilidades y estadística, CIT-2307 Bases de datos, EII-1410 Optimización.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both"/>
              <w:rPr>
                <w:rFonts w:ascii="Arial" w:cs="Arial" w:eastAsia="Arial" w:hAnsi="Arial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rtl w:val="0"/>
              </w:rPr>
              <w:t xml:space="preserve">Sesiones cátedras semanales: 2 cátedras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both"/>
              <w:rPr>
                <w:rFonts w:ascii="Arial" w:cs="Arial" w:eastAsia="Arial" w:hAnsi="Arial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rtl w:val="0"/>
              </w:rPr>
              <w:t xml:space="preserve">Sesiones de Ayudantía: 1</w:t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spacing w:before="200" w:lineRule="auto"/>
        <w:jc w:val="both"/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jc w:val="both"/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Descripción de la asignatura:</w:t>
      </w:r>
    </w:p>
    <w:p w:rsidR="00000000" w:rsidDel="00000000" w:rsidP="00000000" w:rsidRDefault="00000000" w:rsidRPr="00000000" w14:paraId="00000015">
      <w:pPr>
        <w:tabs>
          <w:tab w:val="left" w:leader="none" w:pos="565"/>
          <w:tab w:val="left" w:leader="none" w:pos="566"/>
        </w:tabs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565"/>
          <w:tab w:val="left" w:leader="none" w:pos="566"/>
        </w:tabs>
        <w:ind w:left="0" w:firstLine="0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Este curso introductorio abarca las principales teorías y técnicas de la Inteligencia Artificial (IA). Complementa diversas áreas de la Ciencia de la Computación mediante la aplicación de modelos que resuelven problemas complejos. El curso está diseñado para formar a los estudiantes en metodologías, algoritmos y herramientas claves de la IA, además de presentar distintos paradigmas de razonamiento y representación del conocimiento. A lo largo del curso, se busca proporcionar una base sólida en los enfoques clásicos en la IA.</w:t>
      </w:r>
    </w:p>
    <w:p w:rsidR="00000000" w:rsidDel="00000000" w:rsidP="00000000" w:rsidRDefault="00000000" w:rsidRPr="00000000" w14:paraId="00000017">
      <w:pPr>
        <w:widowControl w:val="0"/>
        <w:spacing w:before="200" w:lineRule="auto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8">
      <w:pPr>
        <w:widowControl w:val="0"/>
        <w:jc w:val="both"/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Resultados de Aprendizaje:</w:t>
      </w:r>
    </w:p>
    <w:p w:rsidR="00000000" w:rsidDel="00000000" w:rsidP="00000000" w:rsidRDefault="00000000" w:rsidRPr="00000000" w14:paraId="00000019">
      <w:pPr>
        <w:widowControl w:val="0"/>
        <w:tabs>
          <w:tab w:val="left" w:leader="none" w:pos="565"/>
          <w:tab w:val="left" w:leader="none" w:pos="566"/>
        </w:tabs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Aplica los métodos analíticos y de modelización a una solución, basada en inteligencia artificial para resolver un problema con información completa o incompleta.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Implementa sistemas que sean capaces de aprender, en aquellos ámbitos donde lo algorítmico no provee una solución.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Comunica de forma escrita y de manera efectiva, el desarrollo de proyectos de inteligencia artificial, siguiendo estándares de documentación técnica.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Analiza el impacto de la inteligencia artificial en la sociedad, considerando principios éticos, regulaciones nacionales y la Política Nacional de IA.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Identifica y mitiga eventuales sesgos derivados del uso de IA, promoviendo la equidad y la transparencia en los sistemas automatizados.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jc w:val="both"/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Unidades Temáticas:</w:t>
      </w:r>
    </w:p>
    <w:p w:rsidR="00000000" w:rsidDel="00000000" w:rsidP="00000000" w:rsidRDefault="00000000" w:rsidRPr="00000000" w14:paraId="00000022">
      <w:pPr>
        <w:widowControl w:val="0"/>
        <w:jc w:val="both"/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ind w:left="720" w:firstLine="0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Unidad 1</w:t>
      </w: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: Resolución de problemas a través de búsqueda informada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276" w:lineRule="auto"/>
        <w:ind w:left="1440" w:hanging="36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Problemas de satisfacción con restricciones y aplicaciones. 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276" w:lineRule="auto"/>
        <w:ind w:left="1440" w:hanging="36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Estrategias de búsqueda (heurísticas) informadas.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line="276" w:lineRule="auto"/>
        <w:ind w:left="1440" w:hanging="36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Búsqueda en ambientes complejos: Búsqueda local y computación evolutiva.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after="80" w:before="28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heading=h.jp17kob04gdo" w:id="0"/>
      <w:bookmarkEnd w:id="0"/>
      <w:r w:rsidDel="00000000" w:rsidR="00000000" w:rsidRPr="00000000">
        <w:rPr>
          <w:rFonts w:ascii="Arial" w:cs="Arial" w:eastAsia="Arial" w:hAnsi="Arial"/>
          <w:i w:val="0"/>
          <w:color w:val="000000"/>
          <w:sz w:val="20"/>
          <w:szCs w:val="20"/>
          <w:rtl w:val="0"/>
        </w:rPr>
        <w:t xml:space="preserve">Unidad 2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rtl w:val="0"/>
        </w:rPr>
        <w:t xml:space="preserve">: Información y razonamiento probabilístico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1440" w:hanging="36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Redes e inferencia bayesiana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1440" w:hanging="36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Procesos de decisión de Markov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1440" w:hanging="36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Inferencia probabilística a través del tiempo: Redes de Markov ocultas, Filtros de partículas y Kalman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1440" w:hanging="36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Estimadores de máxima verosimilitud y algoritmo E-M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after="80" w:before="280" w:line="276" w:lineRule="auto"/>
        <w:ind w:left="720" w:firstLine="0"/>
        <w:jc w:val="both"/>
        <w:rPr>
          <w:rFonts w:ascii="Arial" w:cs="Arial" w:eastAsia="Arial" w:hAnsi="Arial"/>
          <w:b w:val="0"/>
          <w:i w:val="0"/>
          <w:color w:val="000000"/>
          <w:sz w:val="20"/>
          <w:szCs w:val="20"/>
        </w:rPr>
      </w:pPr>
      <w:bookmarkStart w:colFirst="0" w:colLast="0" w:name="_heading=h.9fg6fwq62v6h" w:id="1"/>
      <w:bookmarkEnd w:id="1"/>
      <w:r w:rsidDel="00000000" w:rsidR="00000000" w:rsidRPr="00000000">
        <w:rPr>
          <w:rFonts w:ascii="Arial" w:cs="Arial" w:eastAsia="Arial" w:hAnsi="Arial"/>
          <w:i w:val="0"/>
          <w:color w:val="000000"/>
          <w:sz w:val="20"/>
          <w:szCs w:val="20"/>
          <w:rtl w:val="0"/>
        </w:rPr>
        <w:t xml:space="preserve">Unidad 3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rtl w:val="0"/>
        </w:rPr>
        <w:t xml:space="preserve">: Aprendizaje automático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76" w:lineRule="auto"/>
        <w:ind w:left="1440" w:hanging="36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Técnicas de aprendizaje no supervisado: K-Means, GMM, Mean-Shift, DBSCAN, AHC, Torque Clustering.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76" w:lineRule="auto"/>
        <w:ind w:left="1440" w:hanging="36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Técnicas de aprendizaje supervisado: Regresión lineal y logística, KNN, SVM, Árboles de decisión.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76" w:lineRule="auto"/>
        <w:ind w:left="1440" w:hanging="36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Técnicas de Regularización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Descripción general del método de enseñanza:</w:t>
      </w:r>
    </w:p>
    <w:p w:rsidR="00000000" w:rsidDel="00000000" w:rsidP="00000000" w:rsidRDefault="00000000" w:rsidRPr="00000000" w14:paraId="00000033">
      <w:pPr>
        <w:tabs>
          <w:tab w:val="left" w:leader="none" w:pos="566"/>
        </w:tabs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566"/>
        </w:tabs>
        <w:ind w:left="0" w:firstLine="0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Se contemplan dos clases semanales de cátedra, mezclando –a lo largo del semestre- sesiones de carácter expositivo (basadas en presentaciones electrónicas, con apoyo adicional de pizarrón, y/o contenido audiovisual) con sesiones de trabajo donde se realizarán talleres interactivos con software afín. Esto será complementado con lectura de textos (artículos científicos y textos de actualidad sobre el tema) y material adicional, para la realización de tareas, laboratorios o trabajos de investigación, permitiendo desarrollar habilidades relacionadas con el autoaprendizaje continuo.</w:t>
      </w:r>
    </w:p>
    <w:p w:rsidR="00000000" w:rsidDel="00000000" w:rsidP="00000000" w:rsidRDefault="00000000" w:rsidRPr="00000000" w14:paraId="00000035">
      <w:pPr>
        <w:tabs>
          <w:tab w:val="left" w:leader="none" w:pos="566"/>
        </w:tabs>
        <w:ind w:left="566" w:firstLine="0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tabs>
          <w:tab w:val="left" w:leader="none" w:pos="566"/>
        </w:tabs>
        <w:spacing w:before="56" w:lineRule="auto"/>
        <w:ind w:left="0" w:firstLine="0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Se fomentará la evaluación del conocimiento adquirido, el nivel de comprensión, la capacidad de abstracción y modelamiento, análisis, síntesis, y aplicación. Esto será medido a través de trabajos prácticos, más dos pruebas solemnes y un examen final escrito.</w:t>
      </w:r>
    </w:p>
    <w:p w:rsidR="00000000" w:rsidDel="00000000" w:rsidP="00000000" w:rsidRDefault="00000000" w:rsidRPr="00000000" w14:paraId="00000037">
      <w:pPr>
        <w:widowControl w:val="0"/>
        <w:tabs>
          <w:tab w:val="left" w:leader="none" w:pos="566"/>
        </w:tabs>
        <w:spacing w:before="56" w:lineRule="auto"/>
        <w:jc w:val="both"/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tabs>
          <w:tab w:val="left" w:leader="none" w:pos="566"/>
        </w:tabs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6.</w:t>
      </w: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Descripción general de la modalidad de evaluación:</w:t>
      </w:r>
    </w:p>
    <w:p w:rsidR="00000000" w:rsidDel="00000000" w:rsidP="00000000" w:rsidRDefault="00000000" w:rsidRPr="00000000" w14:paraId="00000039">
      <w:pPr>
        <w:tabs>
          <w:tab w:val="left" w:leader="none" w:pos="566"/>
        </w:tabs>
        <w:ind w:left="566" w:firstLine="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566"/>
        </w:tabs>
        <w:ind w:left="0" w:firstLine="0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Se contempla la realización de trabajos prácticos, dos pruebas solemnes de igual valor y un examen. La nota final (NF) del curso se calculará a partir de una nota de presentación (NP) y la nota del examen (NE). Asimismo, para el cálculo de la NP participan las notas de las pruebas solemnes (S1 y S2), la nota de tareas (NT) y la nota de controles (NC).</w:t>
      </w:r>
    </w:p>
    <w:p w:rsidR="00000000" w:rsidDel="00000000" w:rsidP="00000000" w:rsidRDefault="00000000" w:rsidRPr="00000000" w14:paraId="0000003B">
      <w:pPr>
        <w:tabs>
          <w:tab w:val="left" w:leader="none" w:pos="566"/>
        </w:tabs>
        <w:rPr>
          <w:rFonts w:ascii="Arial" w:cs="Arial" w:eastAsia="Arial" w:hAnsi="Arial"/>
          <w:i w:val="0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z w:val="20"/>
              <w:szCs w:val="20"/>
              <w:rtl w:val="0"/>
            </w:rPr>
            <w:br w:type="textWrapping"/>
            <w:t xml:space="preserve">Según la regla general, para aprobar el curso debe tenerse que NF ≥ 4,0 y para presentarse a Examen NP ≥ 3,5. Será condición adicional de aprobación del curso que NT &gt;= 4.0. El profesor podrá eximir del examen final a estudiantes con NP &gt;= 5.0 y NT &gt;= 5.5. La inasistencia justificada a una prueba solemne implicará reemplazo de su nota con la NE. </w:t>
          </w:r>
        </w:sdtContent>
      </w:sdt>
    </w:p>
    <w:p w:rsidR="00000000" w:rsidDel="00000000" w:rsidP="00000000" w:rsidRDefault="00000000" w:rsidRPr="00000000" w14:paraId="0000003C">
      <w:pPr>
        <w:tabs>
          <w:tab w:val="left" w:leader="none" w:pos="566"/>
        </w:tabs>
        <w:spacing w:before="56" w:lineRule="auto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tabs>
          <w:tab w:val="left" w:leader="none" w:pos="566"/>
        </w:tabs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7.</w:t>
      </w: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Bibliografía Básica Obligatoria (Opcional):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tabs>
          <w:tab w:val="left" w:leader="none" w:pos="-720"/>
        </w:tabs>
        <w:ind w:left="720" w:hanging="36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Russell, Stuart J., and Peter Norvig. 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Artificial intelligence: a modern approach</w:t>
      </w: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. Malaysia; Pearson Education Limited, 2016.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Koller, Daphne, Nir Friedman, and Francis Bach. 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Probabilistic graphical models: principles and techniques</w:t>
      </w: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. MIT press, 2009.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Friedman, Jerome, Trevor Hastie, and Robert Tibshirani. 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elements of statistical learning</w:t>
      </w: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. Vol. 1, no. 10. New York, NY, USA: Springer series in statistics, 2001.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tabs>
          <w:tab w:val="left" w:leader="none" w:pos="-720"/>
        </w:tabs>
        <w:ind w:left="720" w:hanging="36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Tsang, Edward. 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Foundations of constraint satisfaction: the classic text</w:t>
      </w: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. BoD–Books on Demand, 2014.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Elaborado por: Martín Gutiérrez, Víctor Reyes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Fecha revisión: Mayo 2025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Fecha vigencia: Marzo 2026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i w:val="1"/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C3A5C"/>
    <w:pPr>
      <w:spacing w:after="0" w:line="240" w:lineRule="auto"/>
    </w:pPr>
    <w:rPr>
      <w:rFonts w:ascii="Times New Roman" w:cs="Times New Roman" w:eastAsia="Times New Roman" w:hAnsi="Times New Roman"/>
      <w:i w:val="1"/>
      <w:sz w:val="24"/>
      <w:szCs w:val="20"/>
      <w:lang w:eastAsia="es-ES" w:val="es-ES_tradnl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D7338E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FC3A5C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C3A5C"/>
    <w:rPr>
      <w:rFonts w:ascii="Times New Roman" w:cs="Times New Roman" w:eastAsia="Times New Roman" w:hAnsi="Times New Roman"/>
      <w:i w:val="1"/>
      <w:sz w:val="24"/>
      <w:szCs w:val="20"/>
      <w:lang w:eastAsia="es-ES" w:val="es-ES_tradnl"/>
    </w:rPr>
  </w:style>
  <w:style w:type="paragraph" w:styleId="Piedepgina">
    <w:name w:val="footer"/>
    <w:basedOn w:val="Normal"/>
    <w:link w:val="PiedepginaCar"/>
    <w:uiPriority w:val="99"/>
    <w:unhideWhenUsed w:val="1"/>
    <w:rsid w:val="00FC3A5C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C3A5C"/>
    <w:rPr>
      <w:rFonts w:ascii="Times New Roman" w:cs="Times New Roman" w:eastAsia="Times New Roman" w:hAnsi="Times New Roman"/>
      <w:i w:val="1"/>
      <w:sz w:val="24"/>
      <w:szCs w:val="20"/>
      <w:lang w:eastAsia="es-ES" w:val="es-ES_tradnl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FC3A5C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FC3A5C"/>
    <w:rPr>
      <w:rFonts w:ascii="Tahoma" w:cs="Tahoma" w:eastAsia="Times New Roman" w:hAnsi="Tahoma"/>
      <w:i w:val="1"/>
      <w:sz w:val="16"/>
      <w:szCs w:val="16"/>
      <w:lang w:eastAsia="es-ES" w:val="es-ES_tradnl"/>
    </w:rPr>
  </w:style>
  <w:style w:type="paragraph" w:styleId="Prrafodelista">
    <w:name w:val="List Paragraph"/>
    <w:basedOn w:val="Normal"/>
    <w:link w:val="PrrafodelistaCar"/>
    <w:uiPriority w:val="34"/>
    <w:qFormat w:val="1"/>
    <w:rsid w:val="007555E7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D7338E"/>
    <w:rPr>
      <w:rFonts w:asciiTheme="majorHAnsi" w:cstheme="majorBidi" w:eastAsiaTheme="majorEastAsia" w:hAnsiTheme="majorHAnsi"/>
      <w:b w:val="1"/>
      <w:bCs w:val="1"/>
      <w:i w:val="1"/>
      <w:color w:val="4f81bd" w:themeColor="accent1"/>
      <w:sz w:val="24"/>
      <w:szCs w:val="20"/>
      <w:lang w:eastAsia="es-ES" w:val="es-ES_tradnl"/>
    </w:rPr>
  </w:style>
  <w:style w:type="paragraph" w:styleId="Textoindependiente">
    <w:name w:val="Body Text"/>
    <w:basedOn w:val="Normal"/>
    <w:link w:val="TextoindependienteCar"/>
    <w:uiPriority w:val="1"/>
    <w:qFormat w:val="1"/>
    <w:rsid w:val="00B34945"/>
    <w:pPr>
      <w:widowControl w:val="0"/>
      <w:autoSpaceDE w:val="0"/>
      <w:autoSpaceDN w:val="0"/>
    </w:pPr>
    <w:rPr>
      <w:rFonts w:ascii="Calibri" w:cs="Calibri" w:eastAsia="Calibri" w:hAnsi="Calibri"/>
      <w:i w:val="0"/>
      <w:sz w:val="20"/>
      <w:lang w:bidi="es-ES" w:val="es-E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B34945"/>
    <w:rPr>
      <w:rFonts w:ascii="Calibri" w:cs="Calibri" w:eastAsia="Calibri" w:hAnsi="Calibri"/>
      <w:sz w:val="20"/>
      <w:szCs w:val="20"/>
      <w:lang w:bidi="es-ES" w:eastAsia="es-ES" w:val="es-ES"/>
    </w:rPr>
  </w:style>
  <w:style w:type="character" w:styleId="PrrafodelistaCar" w:customStyle="1">
    <w:name w:val="Párrafo de lista Car"/>
    <w:basedOn w:val="Fuentedeprrafopredeter"/>
    <w:link w:val="Prrafodelista"/>
    <w:uiPriority w:val="34"/>
    <w:qFormat w:val="1"/>
    <w:locked w:val="1"/>
    <w:rsid w:val="00B34945"/>
    <w:rPr>
      <w:rFonts w:ascii="Times New Roman" w:cs="Times New Roman" w:eastAsia="Times New Roman" w:hAnsi="Times New Roman"/>
      <w:i w:val="1"/>
      <w:sz w:val="24"/>
      <w:szCs w:val="20"/>
      <w:lang w:eastAsia="es-ES" w:val="es-ES_tradn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C26A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C26ADD"/>
    <w:rPr>
      <w:sz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C26ADD"/>
    <w:rPr>
      <w:rFonts w:ascii="Times New Roman" w:cs="Times New Roman" w:eastAsia="Times New Roman" w:hAnsi="Times New Roman"/>
      <w:i w:val="1"/>
      <w:sz w:val="20"/>
      <w:szCs w:val="20"/>
      <w:lang w:eastAsia="es-ES"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C26ADD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C26ADD"/>
    <w:rPr>
      <w:rFonts w:ascii="Times New Roman" w:cs="Times New Roman" w:eastAsia="Times New Roman" w:hAnsi="Times New Roman"/>
      <w:b w:val="1"/>
      <w:bCs w:val="1"/>
      <w:i w:val="1"/>
      <w:sz w:val="20"/>
      <w:szCs w:val="20"/>
      <w:lang w:eastAsia="es-ES" w:val="es-ES_tradnl"/>
    </w:rPr>
  </w:style>
  <w:style w:type="paragraph" w:styleId="FrameContents" w:customStyle="1">
    <w:name w:val="Frame Contents"/>
    <w:basedOn w:val="Normal"/>
    <w:rsid w:val="00891697"/>
    <w:pPr>
      <w:suppressAutoHyphens w:val="1"/>
    </w:pPr>
    <w:rPr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2ypDKSVtkueXxpfwu2sWSDa6Mw==">CgMxLjAaJAoBMBIfCh0IB0IZCgVBcmlhbBIQQXJpYWwgVW5pY29kZSBNUzIOaC5qcDE3a29iMDRnZG8yDmguOWZnNmZ3cTYydjZoOAByITFBeXF2Z05uN0dPTjlUM0Frb19BaWtSY1ZVcWdkOVE4RQ==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2019-09-12T16:31:00Z</dcterms:created>
  <dc:creator>Loreto Montenegro</dc:creator>
</cp:coreProperties>
</file>