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Evaluación de proyectos TIC</w:t>
      </w:r>
    </w:p>
    <w:p w:rsidR="00000000" w:rsidDel="00000000" w:rsidP="00000000" w:rsidRDefault="00000000" w:rsidRPr="00000000" w14:paraId="00000004">
      <w:pPr>
        <w:ind w:right="46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 la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65"/>
          <w:tab w:val="left" w:leader="none" w:pos="566"/>
        </w:tabs>
        <w:ind w:left="66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4950"/>
        <w:tblGridChange w:id="0">
          <w:tblGrid>
            <w:gridCol w:w="3195"/>
            <w:gridCol w:w="495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1"/>
              <w:jc w:val="both"/>
              <w:rPr/>
            </w:pPr>
            <w:bookmarkStart w:colFirst="0" w:colLast="0" w:name="_heading=h.lcmmlez0d37" w:id="0"/>
            <w:bookmarkEnd w:id="0"/>
            <w:r w:rsidDel="00000000" w:rsidR="00000000" w:rsidRPr="00000000">
              <w:rPr>
                <w:rtl w:val="0"/>
              </w:rPr>
              <w:t xml:space="preserve">Nombre de la Asignatura: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Evaluación de proyectos 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Códigos: CIT-2507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Créditos: 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Duración: Semestral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Ubicación en el plan de estudios: Semestre 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Requisitos: CIT-2506 Gestión Organizacional, CIT-2312 Fund. de Ing. Y Arq. de software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Sesiones cátedras semanales: 2 cátedras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leader="none" w:pos="565"/>
          <w:tab w:val="left" w:leader="none" w:pos="566"/>
        </w:tabs>
        <w:ind w:left="565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565"/>
          <w:tab w:val="left" w:leader="none" w:pos="566"/>
        </w:tabs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 la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curso entrega fundamentos y herramientas para evaluar técnica, económica y financieramente proyectos de tecnologías de información y comunicaciones (TIC), con una visión estratégica y disciplinada. Se integran conceptos de contabilidad, matemática financiera, análisis de riesgos y toma de decisiones para inversiones tecnológicas, con foco en la viabilidad, rentabilidad y sostenibilidad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Resultados de Aprendizaje: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286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Analiza técnica y económicamente un proyecto TIC, considerando su desarrollo, operación y mantenimiento.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286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 conceptos contables básicos como costos, presupuestos, amortización e ingresos esperados, en la evaluación financiera de proyectos.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286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 herramientas de análisis económico y financiero, para apoyar decisiones de inversión.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286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Evalúa riesgos inherentes al desarrollo y ejecución de proyectos tecnológicos.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286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Comunica de forma clara y estructurada el resultado de una evaluación de proyecto a distintos públicos tales como inversionistas, clientes, técnicos.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286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 en equipos de trabajo, planificando, coordinando y ejecutando tareas con liderazgo y responsabilidad, comunicándose efectivamente y elaborando informes técnicos que reflejen procedimientos, resultados y análisis del trabajo realizado.</w:t>
      </w:r>
    </w:p>
    <w:p w:rsidR="00000000" w:rsidDel="00000000" w:rsidP="00000000" w:rsidRDefault="00000000" w:rsidRPr="00000000" w14:paraId="00000021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1: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 a la evaluación de proyectos TIC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 estratégico de las TIC en organizaciones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Enfoque sistémico de la evaluación de inversiones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2: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de contabilidad para proyectos TIC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Ingresos, costos fijos y variables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Presupuestos y flujos de caja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 resultados y balance general simplificado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3: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Matemática financiera y herramientas de evaluación económica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presente neto (VPN), tasa interna de retorno (TIR)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 de oportunidad y costo de capital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 de inflación e impuestos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4: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 técnica y formulación de proyectos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Planificación del proyecto: alcance, tiempo, recursos y calidad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Costos de infraestructura, licencias, personal y soporte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 de gestión (WBS, cronograma, presupuesto)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5: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riesgo en proyectos TIC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Identificación, análisis cualitativo y cuantitativo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Planes de mitigación y control de riesgos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sensibilidad y escenarios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6: </w:t>
      </w:r>
      <w:r w:rsidDel="00000000" w:rsidR="00000000" w:rsidRPr="00000000">
        <w:rPr>
          <w:b w:val="1"/>
          <w:rtl w:val="0"/>
        </w:rPr>
        <w:t xml:space="preserve">Taller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evaluación y presentación de proyectos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a distintos stakeholders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Alineación con objetivos estratégicos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 de proyectos tecnológicos reales o simulados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56" w:lineRule="auto"/>
        <w:ind w:left="0" w:firstLine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general del método de enseñanza: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ind w:left="14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curso combina clases teóricas, talleres prácticos y el desarrollo de un proyecto de evaluación que se trabaja durante el semestre. Se fomenta la aplicación de técnicas reales de planificación financiera, estimación de costos y análisis de riesgo. El trabajo grupal simula el entorno de toma de decisiones en una organización, con entregas parciales, informes escritos y presentaciones orales.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6"/>
        </w:tabs>
        <w:spacing w:before="56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Descripción general de la modalidad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evaluación considera la realización de talleres y controles de los aspectos teóricos. El esquema de evaluación es el siguiente: 70% nota de presentación, 30% examen. </w:t>
      </w:r>
    </w:p>
    <w:p w:rsidR="00000000" w:rsidDel="00000000" w:rsidP="00000000" w:rsidRDefault="00000000" w:rsidRPr="00000000" w14:paraId="00000048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ibliografía Básica Obligatoria: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46"/>
        <w:jc w:val="both"/>
        <w:rPr>
          <w:rFonts w:ascii="Arial" w:cs="Arial" w:eastAsia="Arial" w:hAnsi="Arial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left" w:leader="none" w:pos="-720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Sapag Chaín, Nassir. Proyectos de Inversión: Formulación y Evaluación, Pearson Educación, 2010.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left" w:leader="none" w:pos="-720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Sapag Reinaldo &amp; Sapag Nassir. Preparación y Evaluación de Proyectos, McGraw Hill, 6ª ed., 2014.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tabs>
          <w:tab w:val="left" w:leader="none" w:pos="-720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Horngren, Charles et al. Contabilidad: Un Enfoque Gerencial, Pearson Educación. Schwalbe, Kathy. Information Technology Project Management, Course Technology, 2002.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tabs>
          <w:tab w:val="left" w:leader="none" w:pos="-720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Documentos y casos prácticos entregados durante 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-720"/>
        </w:tabs>
        <w:ind w:lef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Elaborado por: Jorge Elliott , Jonathan Frez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revisión: Mayo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vigencia: Marzo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286" w:hanging="360"/>
      </w:pPr>
      <w:rPr/>
    </w:lvl>
    <w:lvl w:ilvl="1">
      <w:start w:val="1"/>
      <w:numFmt w:val="lowerLetter"/>
      <w:lvlText w:val="%2."/>
      <w:lvlJc w:val="left"/>
      <w:pPr>
        <w:ind w:left="2006" w:hanging="360"/>
      </w:pPr>
      <w:rPr/>
    </w:lvl>
    <w:lvl w:ilvl="2">
      <w:start w:val="1"/>
      <w:numFmt w:val="lowerRoman"/>
      <w:lvlText w:val="%3."/>
      <w:lvlJc w:val="right"/>
      <w:pPr>
        <w:ind w:left="2726" w:hanging="180"/>
      </w:pPr>
      <w:rPr/>
    </w:lvl>
    <w:lvl w:ilvl="3">
      <w:start w:val="1"/>
      <w:numFmt w:val="decimal"/>
      <w:lvlText w:val="%4."/>
      <w:lvlJc w:val="left"/>
      <w:pPr>
        <w:ind w:left="3446" w:hanging="360"/>
      </w:pPr>
      <w:rPr/>
    </w:lvl>
    <w:lvl w:ilvl="4">
      <w:start w:val="1"/>
      <w:numFmt w:val="lowerLetter"/>
      <w:lvlText w:val="%5."/>
      <w:lvlJc w:val="left"/>
      <w:pPr>
        <w:ind w:left="4166" w:hanging="360"/>
      </w:pPr>
      <w:rPr/>
    </w:lvl>
    <w:lvl w:ilvl="5">
      <w:start w:val="1"/>
      <w:numFmt w:val="lowerRoman"/>
      <w:lvlText w:val="%6."/>
      <w:lvlJc w:val="right"/>
      <w:pPr>
        <w:ind w:left="4886" w:hanging="180"/>
      </w:pPr>
      <w:rPr/>
    </w:lvl>
    <w:lvl w:ilvl="6">
      <w:start w:val="1"/>
      <w:numFmt w:val="decimal"/>
      <w:lvlText w:val="%7."/>
      <w:lvlJc w:val="left"/>
      <w:pPr>
        <w:ind w:left="5606" w:hanging="360"/>
      </w:pPr>
      <w:rPr/>
    </w:lvl>
    <w:lvl w:ilvl="7">
      <w:start w:val="1"/>
      <w:numFmt w:val="lowerLetter"/>
      <w:lvlText w:val="%8."/>
      <w:lvlJc w:val="left"/>
      <w:pPr>
        <w:ind w:left="6326" w:hanging="360"/>
      </w:pPr>
      <w:rPr/>
    </w:lvl>
    <w:lvl w:ilvl="8">
      <w:start w:val="1"/>
      <w:numFmt w:val="lowerRoman"/>
      <w:lvlText w:val="%9."/>
      <w:lvlJc w:val="right"/>
      <w:pPr>
        <w:ind w:left="7046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1"/>
    <w:qFormat w:val="1"/>
    <w:rsid w:val="00F37567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kern w:val="0"/>
      <w:sz w:val="22"/>
      <w:szCs w:val="22"/>
      <w:lang w:bidi="es-ES" w:eastAsia="es-E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3756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3756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3756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3756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3756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37567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37567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37567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37567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3756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3756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3756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3756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37567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3756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3756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3756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3756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37567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3756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3756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3756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3756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3756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link w:val="PrrafodelistaCar"/>
    <w:uiPriority w:val="34"/>
    <w:qFormat w:val="1"/>
    <w:rsid w:val="00F3756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37567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3756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37567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37567"/>
    <w:rPr>
      <w:b w:val="1"/>
      <w:bCs w:val="1"/>
      <w:smallCaps w:val="1"/>
      <w:color w:val="2f5496" w:themeColor="accent1" w:themeShade="0000BF"/>
      <w:spacing w:val="5"/>
    </w:rPr>
  </w:style>
  <w:style w:type="character" w:styleId="PrrafodelistaCar" w:customStyle="1">
    <w:name w:val="Párrafo de lista Car"/>
    <w:basedOn w:val="Fuentedeprrafopredeter"/>
    <w:link w:val="Prrafodelista"/>
    <w:uiPriority w:val="34"/>
    <w:qFormat w:val="1"/>
    <w:locked w:val="1"/>
    <w:rsid w:val="00F37567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Zo/sR1pHx5oaS+1/IU7SsIwY8A==">CgMxLjAyDWgubGNtbWxlejBkMzc4AHIhMVFJVnhnb2ZOZ2pmbF84d0xVcHJ3MmVPQVh4dWtaV0NR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2025-03-24T15:34:00Z</dcterms:created>
  <dc:creator>Jonathan Frez Zachary</dc:creator>
</cp:coreProperties>
</file>