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ASIGNATURA</w:t>
        <w:br w:type="textWrapping"/>
      </w:r>
      <w:r w:rsidDel="00000000" w:rsidR="00000000" w:rsidRPr="00000000">
        <w:rPr>
          <w:rFonts w:ascii="Arial" w:cs="Arial" w:eastAsia="Arial" w:hAnsi="Arial"/>
          <w:sz w:val="20"/>
          <w:szCs w:val="20"/>
          <w:rtl w:val="0"/>
        </w:rPr>
        <w:t xml:space="preserve">Desarrollo Ágil y Aseguramiento de la Calidad (QA)</w:t>
      </w:r>
    </w:p>
    <w:p w:rsidR="00000000" w:rsidDel="00000000" w:rsidP="00000000" w:rsidRDefault="00000000" w:rsidRPr="00000000" w14:paraId="00000004">
      <w:pPr>
        <w:ind w:right="46"/>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6">
      <w:pPr>
        <w:numPr>
          <w:ilvl w:val="0"/>
          <w:numId w:val="4"/>
        </w:numPr>
        <w:tabs>
          <w:tab w:val="left" w:leader="none" w:pos="565"/>
          <w:tab w:val="left" w:leader="none" w:pos="566"/>
        </w:tabs>
        <w:ind w:left="566" w:hanging="426"/>
        <w:rPr>
          <w:sz w:val="20"/>
          <w:szCs w:val="20"/>
        </w:rPr>
      </w:pPr>
      <w:r w:rsidDel="00000000" w:rsidR="00000000" w:rsidRPr="00000000">
        <w:rPr>
          <w:rFonts w:ascii="Arial" w:cs="Arial" w:eastAsia="Arial" w:hAnsi="Arial"/>
          <w:b w:val="1"/>
          <w:sz w:val="20"/>
          <w:szCs w:val="20"/>
          <w:rtl w:val="0"/>
        </w:rPr>
        <w:t xml:space="preserve">Identificación de la asignatura:</w:t>
      </w:r>
      <w:r w:rsidDel="00000000" w:rsidR="00000000" w:rsidRPr="00000000">
        <w:rPr>
          <w:rtl w:val="0"/>
        </w:rPr>
      </w:r>
    </w:p>
    <w:p w:rsidR="00000000" w:rsidDel="00000000" w:rsidP="00000000" w:rsidRDefault="00000000" w:rsidRPr="00000000" w14:paraId="00000007">
      <w:pPr>
        <w:tabs>
          <w:tab w:val="left" w:leader="none" w:pos="565"/>
          <w:tab w:val="left" w:leader="none" w:pos="566"/>
        </w:tabs>
        <w:ind w:left="566" w:firstLine="0"/>
        <w:rPr>
          <w:rFonts w:ascii="Arial" w:cs="Arial" w:eastAsia="Arial" w:hAnsi="Arial"/>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570"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5625"/>
        <w:tblGridChange w:id="0">
          <w:tblGrid>
            <w:gridCol w:w="3195"/>
            <w:gridCol w:w="5625"/>
          </w:tblGrid>
        </w:tblGridChange>
      </w:tblGrid>
      <w:tr>
        <w:trPr>
          <w:cantSplit w:val="0"/>
          <w:tblHeader w:val="0"/>
        </w:trPr>
        <w:tc>
          <w:tcPr>
            <w:gridSpan w:val="2"/>
          </w:tcPr>
          <w:p w:rsidR="00000000" w:rsidDel="00000000" w:rsidP="00000000" w:rsidRDefault="00000000" w:rsidRPr="00000000" w14:paraId="00000008">
            <w:pPr>
              <w:widowControl w:val="1"/>
              <w:jc w:val="both"/>
              <w:rPr>
                <w:rFonts w:ascii="Arial" w:cs="Arial" w:eastAsia="Arial" w:hAnsi="Arial"/>
                <w:sz w:val="20"/>
                <w:szCs w:val="20"/>
              </w:rPr>
            </w:pPr>
            <w:bookmarkStart w:colFirst="0" w:colLast="0" w:name="_heading=h.lcmmlez0d37" w:id="1"/>
            <w:bookmarkEnd w:id="1"/>
            <w:r w:rsidDel="00000000" w:rsidR="00000000" w:rsidRPr="00000000">
              <w:rPr>
                <w:rFonts w:ascii="Arial" w:cs="Arial" w:eastAsia="Arial" w:hAnsi="Arial"/>
                <w:sz w:val="20"/>
                <w:szCs w:val="20"/>
                <w:rtl w:val="0"/>
              </w:rPr>
              <w:t xml:space="preserve">Nombre de la Asignatura: </w:t>
            </w:r>
            <w:bookmarkStart w:colFirst="0" w:colLast="0" w:name="bookmark=kix.f9bzm2dr8z2c" w:id="0"/>
            <w:bookmarkEnd w:id="0"/>
            <w:r w:rsidDel="00000000" w:rsidR="00000000" w:rsidRPr="00000000">
              <w:rPr>
                <w:rFonts w:ascii="Arial" w:cs="Arial" w:eastAsia="Arial" w:hAnsi="Arial"/>
                <w:sz w:val="20"/>
                <w:szCs w:val="20"/>
                <w:rtl w:val="0"/>
              </w:rPr>
              <w:t xml:space="preserve">Desarrollo Ágil y Aseguramiento de la Calidad (QA)</w:t>
            </w:r>
          </w:p>
        </w:tc>
      </w:tr>
      <w:tr>
        <w:trPr>
          <w:cantSplit w:val="0"/>
          <w:tblHeader w:val="0"/>
        </w:trPr>
        <w:tc>
          <w:tcPr/>
          <w:p w:rsidR="00000000" w:rsidDel="00000000" w:rsidP="00000000" w:rsidRDefault="00000000" w:rsidRPr="00000000" w14:paraId="0000000A">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Códigos: CIT-3610 </w:t>
            </w:r>
          </w:p>
        </w:tc>
        <w:tc>
          <w:tcPr/>
          <w:p w:rsidR="00000000" w:rsidDel="00000000" w:rsidP="00000000" w:rsidRDefault="00000000" w:rsidRPr="00000000" w14:paraId="0000000B">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Créditos: 6</w:t>
            </w:r>
          </w:p>
        </w:tc>
      </w:tr>
      <w:tr>
        <w:trPr>
          <w:cantSplit w:val="0"/>
          <w:tblHeader w:val="0"/>
        </w:trPr>
        <w:tc>
          <w:tcPr/>
          <w:p w:rsidR="00000000" w:rsidDel="00000000" w:rsidP="00000000" w:rsidRDefault="00000000" w:rsidRPr="00000000" w14:paraId="0000000C">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Duración: Semestral</w:t>
            </w:r>
          </w:p>
        </w:tc>
        <w:tc>
          <w:tcPr/>
          <w:p w:rsidR="00000000" w:rsidDel="00000000" w:rsidP="00000000" w:rsidRDefault="00000000" w:rsidRPr="00000000" w14:paraId="0000000D">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Ubicación en el plan de estudios: Semestre 9 </w:t>
            </w:r>
          </w:p>
        </w:tc>
      </w:tr>
      <w:tr>
        <w:trPr>
          <w:cantSplit w:val="0"/>
          <w:tblHeader w:val="0"/>
        </w:trPr>
        <w:tc>
          <w:tcPr>
            <w:gridSpan w:val="2"/>
          </w:tcPr>
          <w:p w:rsidR="00000000" w:rsidDel="00000000" w:rsidP="00000000" w:rsidRDefault="00000000" w:rsidRPr="00000000" w14:paraId="0000000E">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CIT-2312 Fund. de Ing. Y Arq. de software</w:t>
            </w:r>
          </w:p>
        </w:tc>
      </w:tr>
      <w:tr>
        <w:trPr>
          <w:cantSplit w:val="0"/>
          <w:tblHeader w:val="0"/>
        </w:trPr>
        <w:tc>
          <w:tcPr>
            <w:gridSpan w:val="2"/>
          </w:tcPr>
          <w:p w:rsidR="00000000" w:rsidDel="00000000" w:rsidP="00000000" w:rsidRDefault="00000000" w:rsidRPr="00000000" w14:paraId="00000010">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cátedras semanales: 2 cátedras</w:t>
            </w:r>
          </w:p>
        </w:tc>
      </w:tr>
      <w:tr>
        <w:trPr>
          <w:cantSplit w:val="0"/>
          <w:tblHeader w:val="0"/>
        </w:trPr>
        <w:tc>
          <w:tcPr>
            <w:gridSpan w:val="2"/>
          </w:tcPr>
          <w:p w:rsidR="00000000" w:rsidDel="00000000" w:rsidP="00000000" w:rsidRDefault="00000000" w:rsidRPr="00000000" w14:paraId="00000012">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de Ayudantía: 1</w:t>
            </w:r>
          </w:p>
        </w:tc>
      </w:tr>
    </w:tbl>
    <w:p w:rsidR="00000000" w:rsidDel="00000000" w:rsidP="00000000" w:rsidRDefault="00000000" w:rsidRPr="00000000" w14:paraId="00000014">
      <w:pPr>
        <w:numPr>
          <w:ilvl w:val="0"/>
          <w:numId w:val="4"/>
        </w:numPr>
        <w:tabs>
          <w:tab w:val="left" w:leader="none" w:pos="565"/>
          <w:tab w:val="left" w:leader="none" w:pos="566"/>
        </w:tabs>
        <w:ind w:left="566" w:hanging="426"/>
        <w:rPr>
          <w:sz w:val="20"/>
          <w:szCs w:val="20"/>
        </w:rPr>
      </w:pPr>
      <w:r w:rsidDel="00000000" w:rsidR="00000000" w:rsidRPr="00000000">
        <w:rPr>
          <w:rFonts w:ascii="Arial" w:cs="Arial" w:eastAsia="Arial" w:hAnsi="Arial"/>
          <w:b w:val="1"/>
          <w:sz w:val="20"/>
          <w:szCs w:val="20"/>
          <w:rtl w:val="0"/>
        </w:rPr>
        <w:t xml:space="preserve">Descripción de la asignatura: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curso entrega conocimientos y habilidades fundamentales para aplicar metodologías ágiles en el desarrollo de software, integrando prácticas modernas de planificación, prototipado, testing y aseguramiento de la calidad. El enfoque está puesto en el trabajo colaborativo, el modelado funcional, el diseño centrado en el usuario y la integración continua. Los estudiantes desarrollarán un proyecto práctico iterativo, incorporando principios de mejora continua, automatización y mantenimiento sostenible del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9">
      <w:pPr>
        <w:tabs>
          <w:tab w:val="left" w:leader="none" w:pos="565"/>
          <w:tab w:val="left" w:leader="none" w:pos="566"/>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Implementa metodologías ágiles para resolver problemáticas de desarrollo de software, priorizando la entrega temprana de valor mediante la creación y validación iterativa de un producto mínimo viable.</w:t>
      </w:r>
    </w:p>
    <w:p w:rsidR="00000000" w:rsidDel="00000000" w:rsidP="00000000" w:rsidRDefault="00000000" w:rsidRPr="00000000" w14:paraId="0000001B">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Utiliza herramientas de modelado para representar procesos, requerimientos y diseño orientado a objetos.</w:t>
      </w:r>
    </w:p>
    <w:p w:rsidR="00000000" w:rsidDel="00000000" w:rsidP="00000000" w:rsidRDefault="00000000" w:rsidRPr="00000000" w14:paraId="0000001C">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Diseña interfaces centradas en el usuario, utilizando prototipos y pruebas de usabilidad.</w:t>
      </w:r>
    </w:p>
    <w:p w:rsidR="00000000" w:rsidDel="00000000" w:rsidP="00000000" w:rsidRDefault="00000000" w:rsidRPr="00000000" w14:paraId="0000001D">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Aplica estrategias de testing automatizado y QA, para asegurar la calidad del software.</w:t>
      </w:r>
    </w:p>
    <w:p w:rsidR="00000000" w:rsidDel="00000000" w:rsidP="00000000" w:rsidRDefault="00000000" w:rsidRPr="00000000" w14:paraId="0000001E">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Implementa prácticas de CI/CD para mantener ciclos de desarrollo eficientes y sostenibles.</w:t>
      </w:r>
    </w:p>
    <w:p w:rsidR="00000000" w:rsidDel="00000000" w:rsidP="00000000" w:rsidRDefault="00000000" w:rsidRPr="00000000" w14:paraId="0000001F">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Propone mejoras continuas en proyectos reales, mediante refactorización y análisis de deuda técnica.</w:t>
      </w:r>
    </w:p>
    <w:p w:rsidR="00000000" w:rsidDel="00000000" w:rsidP="00000000" w:rsidRDefault="00000000" w:rsidRPr="00000000" w14:paraId="00000020">
      <w:pPr>
        <w:numPr>
          <w:ilvl w:val="0"/>
          <w:numId w:val="2"/>
        </w:numPr>
        <w:spacing w:line="276" w:lineRule="auto"/>
        <w:ind w:left="1579"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5">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1: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Metodologías Ágiles de Desarrollo de Software</w:t>
      </w:r>
    </w:p>
    <w:p w:rsidR="00000000" w:rsidDel="00000000" w:rsidP="00000000" w:rsidRDefault="00000000" w:rsidRPr="00000000" w14:paraId="00000027">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Manifiesto Ágil y valores clave</w:t>
      </w:r>
    </w:p>
    <w:p w:rsidR="00000000" w:rsidDel="00000000" w:rsidP="00000000" w:rsidRDefault="00000000" w:rsidRPr="00000000" w14:paraId="00000028">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Scrum y Kanban: roles, artefactos y eventos</w:t>
      </w:r>
    </w:p>
    <w:p w:rsidR="00000000" w:rsidDel="00000000" w:rsidP="00000000" w:rsidRDefault="00000000" w:rsidRPr="00000000" w14:paraId="00000029">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Diferencias con enfoques predictivos (cascada)</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2: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Planificación y Seguimiento Ágil</w:t>
      </w:r>
    </w:p>
    <w:p w:rsidR="00000000" w:rsidDel="00000000" w:rsidP="00000000" w:rsidRDefault="00000000" w:rsidRPr="00000000" w14:paraId="0000002B">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User stories, estimación con puntos de historia</w:t>
      </w:r>
    </w:p>
    <w:p w:rsidR="00000000" w:rsidDel="00000000" w:rsidP="00000000" w:rsidRDefault="00000000" w:rsidRPr="00000000" w14:paraId="0000002C">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Burndown charts, tableros Kanban</w:t>
      </w:r>
    </w:p>
    <w:p w:rsidR="00000000" w:rsidDel="00000000" w:rsidP="00000000" w:rsidRDefault="00000000" w:rsidRPr="00000000" w14:paraId="0000002D">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Adaptación y gestión de cambios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3: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Modelamiento de Software Ágil</w:t>
      </w:r>
    </w:p>
    <w:p w:rsidR="00000000" w:rsidDel="00000000" w:rsidP="00000000" w:rsidRDefault="00000000" w:rsidRPr="00000000" w14:paraId="0000002F">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Casos de uso, diagramas de clases orientados a objetos</w:t>
      </w:r>
    </w:p>
    <w:p w:rsidR="00000000" w:rsidDel="00000000" w:rsidP="00000000" w:rsidRDefault="00000000" w:rsidRPr="00000000" w14:paraId="00000030">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Modelado de procesos con BPMN</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4: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Diseño de Interfaces y Experiencia de Usuario (UX)</w:t>
      </w:r>
    </w:p>
    <w:p w:rsidR="00000000" w:rsidDel="00000000" w:rsidP="00000000" w:rsidRDefault="00000000" w:rsidRPr="00000000" w14:paraId="00000032">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Principios de diseño centrado en el usuario</w:t>
      </w:r>
    </w:p>
    <w:p w:rsidR="00000000" w:rsidDel="00000000" w:rsidP="00000000" w:rsidRDefault="00000000" w:rsidRPr="00000000" w14:paraId="00000033">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Prototipos interactivos y pruebas de usabilidad</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5: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Testing Automatizado y QA</w:t>
      </w:r>
    </w:p>
    <w:p w:rsidR="00000000" w:rsidDel="00000000" w:rsidP="00000000" w:rsidRDefault="00000000" w:rsidRPr="00000000" w14:paraId="00000035">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Pruebas unitarias, de integración y aceptación</w:t>
      </w:r>
    </w:p>
    <w:p w:rsidR="00000000" w:rsidDel="00000000" w:rsidP="00000000" w:rsidRDefault="00000000" w:rsidRPr="00000000" w14:paraId="00000036">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Estrategias de aseguramiento de calidad</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z w:val="20"/>
          <w:szCs w:val="20"/>
          <w:rtl w:val="0"/>
        </w:rPr>
        <w:t xml:space="preserve">Unidad 6: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CI/CD y Evolución del Software</w:t>
      </w:r>
    </w:p>
    <w:p w:rsidR="00000000" w:rsidDel="00000000" w:rsidP="00000000" w:rsidRDefault="00000000" w:rsidRPr="00000000" w14:paraId="00000038">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Integración continua y despliegue continuo </w:t>
      </w:r>
    </w:p>
    <w:p w:rsidR="00000000" w:rsidDel="00000000" w:rsidP="00000000" w:rsidRDefault="00000000" w:rsidRPr="00000000" w14:paraId="00000039">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Automatización de pruebas y pipelines</w:t>
      </w:r>
    </w:p>
    <w:p w:rsidR="00000000" w:rsidDel="00000000" w:rsidP="00000000" w:rsidRDefault="00000000" w:rsidRPr="00000000" w14:paraId="0000003A">
      <w:pPr>
        <w:numPr>
          <w:ilvl w:val="1"/>
          <w:numId w:val="1"/>
        </w:numPr>
        <w:tabs>
          <w:tab w:val="left" w:leader="none" w:pos="566"/>
        </w:tabs>
        <w:spacing w:before="56"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Refactorización, gestión de deuda técnica, actualización tecnológica</w:t>
      </w:r>
    </w:p>
    <w:p w:rsidR="00000000" w:rsidDel="00000000" w:rsidP="00000000" w:rsidRDefault="00000000" w:rsidRPr="00000000" w14:paraId="0000003B">
      <w:pPr>
        <w:tabs>
          <w:tab w:val="left" w:leader="none" w:pos="566"/>
        </w:tabs>
        <w:spacing w:before="56" w:lineRule="auto"/>
        <w:ind w:left="140" w:firstLine="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C">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D">
      <w:pPr>
        <w:numPr>
          <w:ilvl w:val="0"/>
          <w:numId w:val="4"/>
        </w:numPr>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del método de enseñanza:</w:t>
      </w:r>
      <w:r w:rsidDel="00000000" w:rsidR="00000000" w:rsidRPr="00000000">
        <w:rPr>
          <w:rtl w:val="0"/>
        </w:rPr>
      </w:r>
    </w:p>
    <w:p w:rsidR="00000000" w:rsidDel="00000000" w:rsidP="00000000" w:rsidRDefault="00000000" w:rsidRPr="00000000" w14:paraId="0000003E">
      <w:pPr>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F">
      <w:pPr>
        <w:spacing w:after="120" w:lineRule="auto"/>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Las clases se imparten en modalidad teórico-práctica.  Se espera que el alumno adquiera los conocimientos técnicos y metodológicos necesarios mediante clases expositivas, y su aplicación a problemas realistas. Las clases presentan los principios, métodos y técnicas utilizadas en Ingeniería de Software. Para poner en práctica los conceptos aprendidos, se realizará un proyecto semestral en contextos reales de manera colaborativa con equipos formados por los alumnos.  </w:t>
      </w:r>
      <w:r w:rsidDel="00000000" w:rsidR="00000000" w:rsidRPr="00000000">
        <w:rPr>
          <w:rtl w:val="0"/>
        </w:rPr>
      </w:r>
    </w:p>
    <w:p w:rsidR="00000000" w:rsidDel="00000000" w:rsidP="00000000" w:rsidRDefault="00000000" w:rsidRPr="00000000" w14:paraId="00000040">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 partir de las actividades antes mencionadas se desarrollará la capacidad para modelar formalmente sistemas informáticos. La disciplina de Ingeniería de Software tiene una relación estrecha con la habilidad de un ingeniero para reducir los riesgos del software. Planificar, analizar y diseñar son actividades orientadas a esos aspectos y serán reforzadas/evaluadas durante la ejecución del proyecto antes descrito y en las evaluaciones formales del curso.</w:t>
      </w:r>
      <w:r w:rsidDel="00000000" w:rsidR="00000000" w:rsidRPr="00000000">
        <w:rPr>
          <w:rtl w:val="0"/>
        </w:rPr>
      </w:r>
    </w:p>
    <w:p w:rsidR="00000000" w:rsidDel="00000000" w:rsidP="00000000" w:rsidRDefault="00000000" w:rsidRPr="00000000" w14:paraId="00000041">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2">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3">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4">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5">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6">
      <w:pPr>
        <w:numPr>
          <w:ilvl w:val="0"/>
          <w:numId w:val="4"/>
        </w:numPr>
        <w:tabs>
          <w:tab w:val="left" w:leader="none" w:pos="566"/>
        </w:tabs>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 la modalidad de evaluación: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Se contempla la realización de evaluaciones parciales (controles y trabajos), un proyecto semestral, dos pruebas solemnes de igual valor y un examen final. Si la nota asociada a la ejecución del proyecto semestral es inferior a 4.0, el alumno reprobará la asignatura con nota final igual a la nota obtenida en el proyecto. </w:t>
      </w:r>
      <w:r w:rsidDel="00000000" w:rsidR="00000000" w:rsidRPr="00000000">
        <w:rPr>
          <w:rtl w:val="0"/>
        </w:rPr>
      </w:r>
    </w:p>
    <w:p w:rsidR="00000000" w:rsidDel="00000000" w:rsidP="00000000" w:rsidRDefault="00000000" w:rsidRPr="00000000" w14:paraId="00000049">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ind w:right="46"/>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Podrán eximirse aquellos alumnos que cumplan con los siguientes requisitos:</w:t>
      </w:r>
      <w:r w:rsidDel="00000000" w:rsidR="00000000" w:rsidRPr="00000000">
        <w:rPr>
          <w:rtl w:val="0"/>
        </w:rPr>
      </w:r>
    </w:p>
    <w:p w:rsidR="00000000" w:rsidDel="00000000" w:rsidP="00000000" w:rsidRDefault="00000000" w:rsidRPr="00000000" w14:paraId="0000004B">
      <w:pPr>
        <w:ind w:right="46"/>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Nota de presentación mayor o igual a 5.0.</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Solemne 1, Solemne 2 y Proyecto mayor o igual 4.0.</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134" w:right="46" w:hanging="567"/>
        <w:jc w:val="both"/>
        <w:rPr>
          <w:rFonts w:ascii="Arial" w:cs="Arial" w:eastAsia="Arial" w:hAnsi="Arial"/>
          <w:i w:val="1"/>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Todas las evaluaciones rendidas, incluyendo las dos solemnes, las 3 entregas del proyecto y todas las evaluaciones parciales.</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 Básica Obligatoria:</w:t>
      </w:r>
      <w:r w:rsidDel="00000000" w:rsidR="00000000" w:rsidRPr="00000000">
        <w:rPr>
          <w:rtl w:val="0"/>
        </w:rPr>
      </w:r>
    </w:p>
    <w:p w:rsidR="00000000" w:rsidDel="00000000" w:rsidP="00000000" w:rsidRDefault="00000000" w:rsidRPr="00000000" w14:paraId="00000052">
      <w:pPr>
        <w:tabs>
          <w:tab w:val="left" w:leader="none" w:pos="566"/>
        </w:tabs>
        <w:spacing w:before="56" w:lineRule="auto"/>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53">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Beck, Kent. </w:t>
      </w:r>
      <w:r w:rsidDel="00000000" w:rsidR="00000000" w:rsidRPr="00000000">
        <w:rPr>
          <w:rFonts w:ascii="Arial" w:cs="Arial" w:eastAsia="Arial" w:hAnsi="Arial"/>
          <w:i w:val="1"/>
          <w:sz w:val="20"/>
          <w:szCs w:val="20"/>
          <w:rtl w:val="0"/>
        </w:rPr>
        <w:t xml:space="preserve">Extreme Programming Explained: Embrace Change</w:t>
      </w:r>
      <w:r w:rsidDel="00000000" w:rsidR="00000000" w:rsidRPr="00000000">
        <w:rPr>
          <w:rFonts w:ascii="Arial" w:cs="Arial" w:eastAsia="Arial" w:hAnsi="Arial"/>
          <w:sz w:val="20"/>
          <w:szCs w:val="20"/>
          <w:rtl w:val="0"/>
        </w:rPr>
        <w:t xml:space="preserve">, Addison-Wesley </w:t>
      </w:r>
    </w:p>
    <w:p w:rsidR="00000000" w:rsidDel="00000000" w:rsidP="00000000" w:rsidRDefault="00000000" w:rsidRPr="00000000" w14:paraId="00000054">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Schwaber, Ken &amp; Sutherland, Jeff. </w:t>
      </w:r>
      <w:r w:rsidDel="00000000" w:rsidR="00000000" w:rsidRPr="00000000">
        <w:rPr>
          <w:rFonts w:ascii="Arial" w:cs="Arial" w:eastAsia="Arial" w:hAnsi="Arial"/>
          <w:i w:val="1"/>
          <w:sz w:val="20"/>
          <w:szCs w:val="20"/>
          <w:rtl w:val="0"/>
        </w:rPr>
        <w:t xml:space="preserve">Scrum Guide</w:t>
      </w:r>
      <w:r w:rsidDel="00000000" w:rsidR="00000000" w:rsidRPr="00000000">
        <w:rPr>
          <w:rFonts w:ascii="Arial" w:cs="Arial" w:eastAsia="Arial" w:hAnsi="Arial"/>
          <w:sz w:val="20"/>
          <w:szCs w:val="20"/>
          <w:rtl w:val="0"/>
        </w:rPr>
        <w:t xml:space="preserve"> (guía oficial) </w:t>
      </w:r>
    </w:p>
    <w:p w:rsidR="00000000" w:rsidDel="00000000" w:rsidP="00000000" w:rsidRDefault="00000000" w:rsidRPr="00000000" w14:paraId="00000055">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Pressman, Roger. </w:t>
      </w:r>
      <w:r w:rsidDel="00000000" w:rsidR="00000000" w:rsidRPr="00000000">
        <w:rPr>
          <w:rFonts w:ascii="Arial" w:cs="Arial" w:eastAsia="Arial" w:hAnsi="Arial"/>
          <w:i w:val="1"/>
          <w:sz w:val="20"/>
          <w:szCs w:val="20"/>
          <w:rtl w:val="0"/>
        </w:rPr>
        <w:t xml:space="preserve">Ingeniería del Software: Un enfoque práctico</w:t>
      </w:r>
      <w:r w:rsidDel="00000000" w:rsidR="00000000" w:rsidRPr="00000000">
        <w:rPr>
          <w:rFonts w:ascii="Arial" w:cs="Arial" w:eastAsia="Arial" w:hAnsi="Arial"/>
          <w:sz w:val="20"/>
          <w:szCs w:val="20"/>
          <w:rtl w:val="0"/>
        </w:rPr>
        <w:t xml:space="preserve">, McGraw-Hill </w:t>
      </w:r>
    </w:p>
    <w:p w:rsidR="00000000" w:rsidDel="00000000" w:rsidP="00000000" w:rsidRDefault="00000000" w:rsidRPr="00000000" w14:paraId="00000056">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Sommerville, Ian. </w:t>
      </w:r>
      <w:r w:rsidDel="00000000" w:rsidR="00000000" w:rsidRPr="00000000">
        <w:rPr>
          <w:rFonts w:ascii="Arial" w:cs="Arial" w:eastAsia="Arial" w:hAnsi="Arial"/>
          <w:i w:val="1"/>
          <w:sz w:val="20"/>
          <w:szCs w:val="20"/>
          <w:rtl w:val="0"/>
        </w:rPr>
        <w:t xml:space="preserve">Ingeniería de Software</w:t>
      </w:r>
      <w:r w:rsidDel="00000000" w:rsidR="00000000" w:rsidRPr="00000000">
        <w:rPr>
          <w:rFonts w:ascii="Arial" w:cs="Arial" w:eastAsia="Arial" w:hAnsi="Arial"/>
          <w:sz w:val="20"/>
          <w:szCs w:val="20"/>
          <w:rtl w:val="0"/>
        </w:rPr>
        <w:t xml:space="preserve">, 10ª ed. </w:t>
      </w:r>
    </w:p>
    <w:p w:rsidR="00000000" w:rsidDel="00000000" w:rsidP="00000000" w:rsidRDefault="00000000" w:rsidRPr="00000000" w14:paraId="00000057">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Jez Humble &amp; David Farley. </w:t>
      </w:r>
      <w:r w:rsidDel="00000000" w:rsidR="00000000" w:rsidRPr="00000000">
        <w:rPr>
          <w:rFonts w:ascii="Arial" w:cs="Arial" w:eastAsia="Arial" w:hAnsi="Arial"/>
          <w:i w:val="1"/>
          <w:sz w:val="20"/>
          <w:szCs w:val="20"/>
          <w:rtl w:val="0"/>
        </w:rPr>
        <w:t xml:space="preserve">Continuous Delivery</w:t>
      </w:r>
      <w:r w:rsidDel="00000000" w:rsidR="00000000" w:rsidRPr="00000000">
        <w:rPr>
          <w:rFonts w:ascii="Arial" w:cs="Arial" w:eastAsia="Arial" w:hAnsi="Arial"/>
          <w:sz w:val="20"/>
          <w:szCs w:val="20"/>
          <w:rtl w:val="0"/>
        </w:rPr>
        <w:t xml:space="preserve">, Addison-Wesley </w:t>
      </w:r>
    </w:p>
    <w:p w:rsidR="00000000" w:rsidDel="00000000" w:rsidP="00000000" w:rsidRDefault="00000000" w:rsidRPr="00000000" w14:paraId="00000058">
      <w:pPr>
        <w:widowControl w:val="1"/>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Craig Larman. </w:t>
      </w:r>
      <w:r w:rsidDel="00000000" w:rsidR="00000000" w:rsidRPr="00000000">
        <w:rPr>
          <w:rFonts w:ascii="Arial" w:cs="Arial" w:eastAsia="Arial" w:hAnsi="Arial"/>
          <w:i w:val="1"/>
          <w:sz w:val="20"/>
          <w:szCs w:val="20"/>
          <w:rtl w:val="0"/>
        </w:rPr>
        <w:t xml:space="preserve">UML y Patrones</w:t>
      </w:r>
      <w:r w:rsidDel="00000000" w:rsidR="00000000" w:rsidRPr="00000000">
        <w:rPr>
          <w:rFonts w:ascii="Arial" w:cs="Arial" w:eastAsia="Arial" w:hAnsi="Arial"/>
          <w:sz w:val="20"/>
          <w:szCs w:val="20"/>
          <w:rtl w:val="0"/>
        </w:rPr>
        <w:t xml:space="preserve">, 3ª Ed. </w:t>
      </w:r>
    </w:p>
    <w:p w:rsidR="00000000" w:rsidDel="00000000" w:rsidP="00000000" w:rsidRDefault="00000000" w:rsidRPr="00000000" w14:paraId="00000059">
      <w:pPr>
        <w:numPr>
          <w:ilvl w:val="0"/>
          <w:numId w:val="5"/>
        </w:numPr>
        <w:tabs>
          <w:tab w:val="left" w:leader="none" w:pos="-72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Recursos del curso y documentación de herramientas (Figma, Jenkins, GitLab CI, etc.)</w:t>
      </w:r>
    </w:p>
    <w:p w:rsidR="00000000" w:rsidDel="00000000" w:rsidP="00000000" w:rsidRDefault="00000000" w:rsidRPr="00000000" w14:paraId="0000005A">
      <w:pPr>
        <w:tabs>
          <w:tab w:val="left" w:leader="none" w:pos="-72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B">
      <w:pPr>
        <w:tabs>
          <w:tab w:val="left" w:leader="none" w:pos="-720"/>
        </w:tabs>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F">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Elaborado por: Jonathan Frez</w:t>
      </w:r>
      <w:r w:rsidDel="00000000" w:rsidR="00000000" w:rsidRPr="00000000">
        <w:rPr>
          <w:rtl w:val="0"/>
        </w:rPr>
      </w:r>
    </w:p>
    <w:p w:rsidR="00000000" w:rsidDel="00000000" w:rsidP="00000000" w:rsidRDefault="00000000" w:rsidRPr="00000000" w14:paraId="00000066">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revisión: Mayo 2025</w:t>
      </w:r>
      <w:r w:rsidDel="00000000" w:rsidR="00000000" w:rsidRPr="00000000">
        <w:rPr>
          <w:rtl w:val="0"/>
        </w:rPr>
      </w:r>
    </w:p>
    <w:p w:rsidR="00000000" w:rsidDel="00000000" w:rsidP="00000000" w:rsidRDefault="00000000" w:rsidRPr="00000000" w14:paraId="00000067">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vigencia: Marzo 2026</w:t>
      </w: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579" w:hanging="360"/>
      </w:pPr>
      <w:rPr/>
    </w:lvl>
    <w:lvl w:ilvl="1">
      <w:start w:val="1"/>
      <w:numFmt w:val="lowerLetter"/>
      <w:lvlText w:val="%2."/>
      <w:lvlJc w:val="left"/>
      <w:pPr>
        <w:ind w:left="2299" w:hanging="360"/>
      </w:pPr>
      <w:rPr/>
    </w:lvl>
    <w:lvl w:ilvl="2">
      <w:start w:val="1"/>
      <w:numFmt w:val="lowerRoman"/>
      <w:lvlText w:val="%3."/>
      <w:lvlJc w:val="right"/>
      <w:pPr>
        <w:ind w:left="3019" w:hanging="180"/>
      </w:pPr>
      <w:rPr/>
    </w:lvl>
    <w:lvl w:ilvl="3">
      <w:start w:val="1"/>
      <w:numFmt w:val="decimal"/>
      <w:lvlText w:val="%4."/>
      <w:lvlJc w:val="left"/>
      <w:pPr>
        <w:ind w:left="3739" w:hanging="360"/>
      </w:pPr>
      <w:rPr/>
    </w:lvl>
    <w:lvl w:ilvl="4">
      <w:start w:val="1"/>
      <w:numFmt w:val="lowerLetter"/>
      <w:lvlText w:val="%5."/>
      <w:lvlJc w:val="left"/>
      <w:pPr>
        <w:ind w:left="4459" w:hanging="360"/>
      </w:pPr>
      <w:rPr/>
    </w:lvl>
    <w:lvl w:ilvl="5">
      <w:start w:val="1"/>
      <w:numFmt w:val="lowerRoman"/>
      <w:lvlText w:val="%6."/>
      <w:lvlJc w:val="right"/>
      <w:pPr>
        <w:ind w:left="5179" w:hanging="180"/>
      </w:pPr>
      <w:rPr/>
    </w:lvl>
    <w:lvl w:ilvl="6">
      <w:start w:val="1"/>
      <w:numFmt w:val="decimal"/>
      <w:lvlText w:val="%7."/>
      <w:lvlJc w:val="left"/>
      <w:pPr>
        <w:ind w:left="5899" w:hanging="360"/>
      </w:pPr>
      <w:rPr/>
    </w:lvl>
    <w:lvl w:ilvl="7">
      <w:start w:val="1"/>
      <w:numFmt w:val="lowerLetter"/>
      <w:lvlText w:val="%8."/>
      <w:lvlJc w:val="left"/>
      <w:pPr>
        <w:ind w:left="6619" w:hanging="360"/>
      </w:pPr>
      <w:rPr/>
    </w:lvl>
    <w:lvl w:ilvl="8">
      <w:start w:val="1"/>
      <w:numFmt w:val="lowerRoman"/>
      <w:lvlText w:val="%9."/>
      <w:lvlJc w:val="right"/>
      <w:pPr>
        <w:ind w:left="7339"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566" w:hanging="426"/>
      </w:pPr>
      <w:rPr>
        <w:rFonts w:ascii="Arial" w:cs="Arial" w:eastAsia="Arial" w:hAnsi="Arial"/>
        <w:b w:val="1"/>
        <w:i w:val="0"/>
        <w:sz w:val="22"/>
        <w:szCs w:val="22"/>
      </w:rPr>
    </w:lvl>
    <w:lvl w:ilvl="1">
      <w:start w:val="0"/>
      <w:numFmt w:val="lowerLetter"/>
      <w:lvlText w:val="%2."/>
      <w:lvlJc w:val="left"/>
      <w:pPr>
        <w:ind w:left="849" w:hanging="347.9999999999999"/>
      </w:pPr>
      <w:rPr>
        <w:rFonts w:ascii="Arial" w:cs="Arial" w:eastAsia="Arial" w:hAnsi="Arial"/>
        <w:sz w:val="22"/>
        <w:szCs w:val="22"/>
      </w:rPr>
    </w:lvl>
    <w:lvl w:ilvl="2">
      <w:start w:val="0"/>
      <w:numFmt w:val="lowerRoman"/>
      <w:lvlText w:val="%3."/>
      <w:lvlJc w:val="right"/>
      <w:pPr>
        <w:ind w:left="1817" w:hanging="348.0000000000002"/>
      </w:pPr>
      <w:rPr/>
    </w:lvl>
    <w:lvl w:ilvl="3">
      <w:start w:val="0"/>
      <w:numFmt w:val="decimal"/>
      <w:lvlText w:val="%4."/>
      <w:lvlJc w:val="left"/>
      <w:pPr>
        <w:ind w:left="2795" w:hanging="348"/>
      </w:pPr>
      <w:rPr/>
    </w:lvl>
    <w:lvl w:ilvl="4">
      <w:start w:val="0"/>
      <w:numFmt w:val="lowerLetter"/>
      <w:lvlText w:val="%5."/>
      <w:lvlJc w:val="left"/>
      <w:pPr>
        <w:ind w:left="3773" w:hanging="348"/>
      </w:pPr>
      <w:rPr/>
    </w:lvl>
    <w:lvl w:ilvl="5">
      <w:start w:val="0"/>
      <w:numFmt w:val="lowerRoman"/>
      <w:lvlText w:val="%6."/>
      <w:lvlJc w:val="right"/>
      <w:pPr>
        <w:ind w:left="4751" w:hanging="348"/>
      </w:pPr>
      <w:rPr/>
    </w:lvl>
    <w:lvl w:ilvl="6">
      <w:start w:val="0"/>
      <w:numFmt w:val="decimal"/>
      <w:lvlText w:val="%7."/>
      <w:lvlJc w:val="left"/>
      <w:pPr>
        <w:ind w:left="5728" w:hanging="348"/>
      </w:pPr>
      <w:rPr/>
    </w:lvl>
    <w:lvl w:ilvl="7">
      <w:start w:val="0"/>
      <w:numFmt w:val="lowerLetter"/>
      <w:lvlText w:val="%8."/>
      <w:lvlJc w:val="left"/>
      <w:pPr>
        <w:ind w:left="6706" w:hanging="347.9999999999991"/>
      </w:pPr>
      <w:rPr/>
    </w:lvl>
    <w:lvl w:ilvl="8">
      <w:start w:val="0"/>
      <w:numFmt w:val="lowerRoman"/>
      <w:lvlText w:val="%9."/>
      <w:lvlJc w:val="right"/>
      <w:pPr>
        <w:ind w:left="7684" w:hanging="348"/>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BD0A16"/>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Ttulo1">
    <w:name w:val="heading 1"/>
    <w:basedOn w:val="Normal"/>
    <w:next w:val="Normal"/>
    <w:link w:val="Ttulo1Car"/>
    <w:uiPriority w:val="9"/>
    <w:qFormat w:val="1"/>
    <w:rsid w:val="00BD0A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BD0A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BD0A16"/>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BD0A16"/>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BD0A16"/>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BD0A1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D0A1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D0A1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D0A1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D0A16"/>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BD0A16"/>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BD0A16"/>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BD0A16"/>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BD0A16"/>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BD0A1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D0A1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D0A1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D0A16"/>
    <w:rPr>
      <w:rFonts w:cstheme="majorBidi" w:eastAsiaTheme="majorEastAsia"/>
      <w:color w:val="272727" w:themeColor="text1" w:themeTint="0000D8"/>
    </w:rPr>
  </w:style>
  <w:style w:type="paragraph" w:styleId="Ttulo">
    <w:name w:val="Title"/>
    <w:basedOn w:val="Normal"/>
    <w:next w:val="Normal"/>
    <w:link w:val="TtuloCar"/>
    <w:uiPriority w:val="10"/>
    <w:qFormat w:val="1"/>
    <w:rsid w:val="00BD0A16"/>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D0A1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D0A16"/>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D0A1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D0A1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D0A16"/>
    <w:rPr>
      <w:i w:val="1"/>
      <w:iCs w:val="1"/>
      <w:color w:val="404040" w:themeColor="text1" w:themeTint="0000BF"/>
    </w:rPr>
  </w:style>
  <w:style w:type="paragraph" w:styleId="Prrafodelista">
    <w:name w:val="List Paragraph"/>
    <w:basedOn w:val="Normal"/>
    <w:link w:val="PrrafodelistaCar"/>
    <w:uiPriority w:val="34"/>
    <w:qFormat w:val="1"/>
    <w:rsid w:val="00BD0A16"/>
    <w:pPr>
      <w:ind w:left="720"/>
      <w:contextualSpacing w:val="1"/>
    </w:pPr>
  </w:style>
  <w:style w:type="character" w:styleId="nfasisintenso">
    <w:name w:val="Intense Emphasis"/>
    <w:basedOn w:val="Fuentedeprrafopredeter"/>
    <w:uiPriority w:val="21"/>
    <w:qFormat w:val="1"/>
    <w:rsid w:val="00BD0A16"/>
    <w:rPr>
      <w:i w:val="1"/>
      <w:iCs w:val="1"/>
      <w:color w:val="2f5496" w:themeColor="accent1" w:themeShade="0000BF"/>
    </w:rPr>
  </w:style>
  <w:style w:type="paragraph" w:styleId="Citadestacada">
    <w:name w:val="Intense Quote"/>
    <w:basedOn w:val="Normal"/>
    <w:next w:val="Normal"/>
    <w:link w:val="CitadestacadaCar"/>
    <w:uiPriority w:val="30"/>
    <w:qFormat w:val="1"/>
    <w:rsid w:val="00BD0A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BD0A16"/>
    <w:rPr>
      <w:i w:val="1"/>
      <w:iCs w:val="1"/>
      <w:color w:val="2f5496" w:themeColor="accent1" w:themeShade="0000BF"/>
    </w:rPr>
  </w:style>
  <w:style w:type="character" w:styleId="Referenciaintensa">
    <w:name w:val="Intense Reference"/>
    <w:basedOn w:val="Fuentedeprrafopredeter"/>
    <w:uiPriority w:val="32"/>
    <w:qFormat w:val="1"/>
    <w:rsid w:val="00BD0A16"/>
    <w:rPr>
      <w:b w:val="1"/>
      <w:bCs w:val="1"/>
      <w:smallCaps w:val="1"/>
      <w:color w:val="2f5496" w:themeColor="accent1" w:themeShade="0000BF"/>
      <w:spacing w:val="5"/>
    </w:rPr>
  </w:style>
  <w:style w:type="character" w:styleId="PrrafodelistaCar" w:customStyle="1">
    <w:name w:val="Párrafo de lista Car"/>
    <w:basedOn w:val="Fuentedeprrafopredeter"/>
    <w:link w:val="Prrafodelista"/>
    <w:uiPriority w:val="34"/>
    <w:qFormat w:val="1"/>
    <w:locked w:val="1"/>
    <w:rsid w:val="00BD0A16"/>
  </w:style>
  <w:style w:type="character" w:styleId="Textoennegrita">
    <w:name w:val="Strong"/>
    <w:basedOn w:val="Fuentedeprrafopredeter"/>
    <w:uiPriority w:val="22"/>
    <w:qFormat w:val="1"/>
    <w:rsid w:val="00BD0A16"/>
    <w:rPr>
      <w:b w:val="1"/>
      <w:bCs w:val="1"/>
    </w:rPr>
  </w:style>
  <w:style w:type="character" w:styleId="relative" w:customStyle="1">
    <w:name w:val="relative"/>
    <w:basedOn w:val="Fuentedeprrafopredeter"/>
    <w:rsid w:val="00BD0A16"/>
  </w:style>
  <w:style w:type="character" w:styleId="nfasis">
    <w:name w:val="Emphasis"/>
    <w:basedOn w:val="Fuentedeprrafopredeter"/>
    <w:uiPriority w:val="20"/>
    <w:qFormat w:val="1"/>
    <w:rsid w:val="00C34235"/>
    <w:rPr>
      <w:i w:val="1"/>
      <w:i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J1QDxPfBx2GIVZWsC5H132Itw==">CgMxLjAyEGtpeC5mOWJ6bTJkcjh6MmMyDWgubGNtbWxlejBkMzc4AHIhMXFnZVlVWTJpSVdfWTQ4T3JxOFIwN2dhbmZMZHZlZ2pW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2025-03-24T15:13:00Z</dcterms:created>
  <dc:creator>Jonathan Frez Zachary</dc:creator>
</cp:coreProperties>
</file>