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ind w:right="46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Redes de Datos</w:t>
      </w:r>
    </w:p>
    <w:p w:rsidR="00000000" w:rsidDel="00000000" w:rsidP="00000000" w:rsidRDefault="00000000" w:rsidRPr="00000000" w14:paraId="00000004">
      <w:pPr>
        <w:ind w:right="46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6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leader="none" w:pos="565"/>
          <w:tab w:val="left" w:leader="none" w:pos="566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Identificación de la asignatura:</w:t>
      </w:r>
    </w:p>
    <w:p w:rsidR="00000000" w:rsidDel="00000000" w:rsidP="00000000" w:rsidRDefault="00000000" w:rsidRPr="00000000" w14:paraId="00000007">
      <w:pPr>
        <w:tabs>
          <w:tab w:val="left" w:leader="none" w:pos="565"/>
          <w:tab w:val="left" w:leader="none" w:pos="566"/>
        </w:tabs>
        <w:ind w:left="566" w:firstLine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5625"/>
        <w:tblGridChange w:id="0">
          <w:tblGrid>
            <w:gridCol w:w="3195"/>
            <w:gridCol w:w="56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lcmmlez0d37" w:id="0"/>
            <w:bookmarkEnd w:id="0"/>
            <w:r w:rsidDel="00000000" w:rsidR="00000000" w:rsidRPr="00000000">
              <w:rPr>
                <w:rtl w:val="0"/>
              </w:rPr>
              <w:t xml:space="preserve">Nombre de la Asignatura: Redes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Códigos: CIT-2414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Créditos: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Duración: Semestral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Ubicación en el plan de estudios: Semestre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Requisitos: CIT-1110 Programación avanzada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Sesiones cátedras semanales: 2 cátedras, 1 laboratorio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1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Sesiones de Ayudantía: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565"/>
          <w:tab w:val="left" w:leader="none" w:pos="566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de la asignatura:</w:t>
      </w:r>
    </w:p>
    <w:p w:rsidR="00000000" w:rsidDel="00000000" w:rsidP="00000000" w:rsidRDefault="00000000" w:rsidRPr="00000000" w14:paraId="00000016">
      <w:pPr>
        <w:tabs>
          <w:tab w:val="left" w:leader="none" w:pos="565"/>
          <w:tab w:val="left" w:leader="none" w:pos="566"/>
        </w:tabs>
        <w:ind w:left="139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Para un/una futuro/a Ingeniero/a Civil en Informática y Telecomunicaciones resulta esencial el poder entender, modelar y diseñar un sistema de telecomunicaciones. Esto implica modelar diferentes etapas de la comunicación. Entre ellas, es de relevancia entender la forma en que se interconectan diferentes equipos de manera remota, o cómo se conecta un equipo a Internet. En este contexto, este curso entrega las herramientas necesarias para el diseño e implementación de una red de área local, así como la configuración de los distintos equipos de networking y protocolos. Por lo tanto, este curso tiene como objetivo general el conocer en profundidad las redes LAN, dominando y aplicando los conceptos de las tecnologías de redes de datos (LAN), sus topologías, normas, protocolos y equipamiento.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709"/>
        </w:tabs>
        <w:ind w:left="720" w:right="4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de Aprendizaje: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ind w:left="72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ind w:left="144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 finalizar el curso el/la estudiante será capaz de:</w:t>
      </w:r>
    </w:p>
    <w:p w:rsidR="00000000" w:rsidDel="00000000" w:rsidP="00000000" w:rsidRDefault="00000000" w:rsidRPr="00000000" w14:paraId="0000001C">
      <w:pPr>
        <w:tabs>
          <w:tab w:val="left" w:leader="none" w:pos="709"/>
        </w:tabs>
        <w:ind w:left="144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709"/>
        </w:tabs>
        <w:ind w:left="1440" w:right="4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Diseña redes de datos utilizando diversas topologías y protocolos de enrutamiento, con el fin de evaluar su funcionalidad y eficiencia.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709"/>
        </w:tabs>
        <w:ind w:left="1440" w:right="4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Evalúa el desempeño y las limitaciones de las redes de datos, con el fin de definir, estimar y predecir métricas clave que permitan optimizar su operación y brindar soporte técnico eficiente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709"/>
        </w:tabs>
        <w:ind w:left="1440" w:right="4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Realiza mediciones de conectividad y capacidad en redes LAN, o mediante simulaciones grupales, orientadas a estimar parámetros de rendimiento y documentar el desempeño de las redes de datos analizadas.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709"/>
        </w:tabs>
        <w:ind w:left="1440" w:right="4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Evalúa el funcionamiento y las aplicaciones de routers y switches LAN bajo diferentes condiciones de configuración, con el objetivo de estimar y comparar métricas de desempeño.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709"/>
        </w:tabs>
        <w:ind w:left="1440" w:right="4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Aplica técnicas de segmentación, para mejorar la performance de las redes de datos.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709"/>
        </w:tabs>
        <w:ind w:left="1440" w:right="46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realizado. </w:t>
      </w:r>
    </w:p>
    <w:p w:rsidR="00000000" w:rsidDel="00000000" w:rsidP="00000000" w:rsidRDefault="00000000" w:rsidRPr="00000000" w14:paraId="00000023">
      <w:pPr>
        <w:tabs>
          <w:tab w:val="left" w:leader="none" w:pos="709"/>
        </w:tabs>
        <w:ind w:left="1440" w:right="4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09"/>
        </w:tabs>
        <w:ind w:right="4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4. U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1286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1: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200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Introducción: Definición de una red de datos (networking), sus servicios y componentes. Estudio del modelo de referencia OSI y de arquitectura de protocolos TCP/IP. Funciones y actividades de las principales organizaciones de estándares internacionales de telecomunicaciones.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200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 física: Estudio de las principales características y usos de los medios guiados de networking: cable coaxial, par trenzado (blindado, no blindado y apantallado) y fibra óptica (monomodo y multimodo).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200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Cableado estructurado: Estándares EIA/TIA-568B, cableado horizontal y vertical, especificaciones de cableado, categorías y conectores (RJ45). Elementos de un armario de telecomunicaciones: patch panels, patch cord, módulo de alimentación eléctrica, barras de puesta a tierra y sistemas de alimentación ininterrumpida (UPS). Uso de herramientas tales como: crimpeadoras RJ45, ponchadoras de cables, pelacables y analizadores de cable. Documentación del cableado de la red de datos basado en mapas de topología física y lógica.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1286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2: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200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Dispositivos de red y topologías: Repetidores, hubs, bridges, switches, routers, topologías de bus, estrella, estrella extendida, anillo, malla, entre otras.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200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 de enlace de datos: tarjeta de interfaz de red (NIC), direcciones MAC, funcionamiento del Protocolo de Resolución de Direcciones (ARP) y del Protocolo de Resolución de Direcciones Inverso (RARP). Protocolo de Mensajes de Control en Internet (ICMP). Mecanismos de control de acceso al medio: ALOHA, CSMA p- persistente, CSMA/CD, CSMA/CA.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200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Switches: Descripción general de la conmutación y sus ventajas. Segmentación de una red LAN. Protocolo de Árbol de Expansión (STP), ventajas y funcionamiento. LAN Virtual (VLAN), descripción general de una VLAN y sus ventajas. Proceso de transporte de las VLAN a través de backbones, ruteo entre VLANs, VLAN estáticas, VLAN dinámicas.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200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Estándares LAN: Estándares LAN Ethernet e IEEE 802.3, las LAN y la capa física, las LAN y la capa de enlace de datos, funcionamiento de Ethernet 802.3, broadcast Ethernet 802.3, la LAN y la capa de red.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1286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3: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200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Direccionamiento IPv4: Protocolo IPv4, cabecera IPv4. Conceptos generales sobre el direccionamiento IPv4 direcciones reservadas, máscara de red, clase de direcciones IPv4. Direcciones IPv4 públicas y privadas. Técnicas de división de red IPv4 en subredes (subnetting) usando máscara de subred de tamaño fijo y máscara de subred de tamaño variable (VLSM). Direcciones IPv4 reservadas en una subred (identificación y broadcast de la subred). Protocolo de Configuración Dinámica de Host (DHCP) y su funcionamiento. Enrutamiento Interdominio sin Clase (CIDR). Traducción de dirección de red (NAT). Listas de control de acceso (ACL).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200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 de red y enrutamiento: Conceptos, sistemas autónomos, protocolos de enrutamiento, métricas, rutas estáticas y rutas dinámicas, distancia administrativa, algoritmo de enrutamiento por vector distancia, algoritmos de enrutamiento por estado de enlace, protocolos de enrutamiento RIP, IGRP, EGIRP y OSPF.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1286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4: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2006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 de transporte: funciones de la capa de transporte, propiedades de los protocolos de transporte (TCP y UDP), socket, número de puerto, intercambio de señales de tres vías, control de flujo, control de congestión, ventanas deslizantes y partida lenta en TCP.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5. 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6" w:firstLine="0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contemplan dos clases semanales de cátedra, mezclando –a lo largo del semestre- sesiones de carácter expositivo (basadas en presentaciones electrónicas, con apoyo adicional de pizarrón, y/o contenido audiovisual) con sesiones de trabajo donde se realizarán tanto talleres interactivos y como de sesiones de ayudantía. Esto será complementado con lectura de textos y material adicional, para la realización de tareas, laboratorios o trabajos de investigación, permitiendo desarrollar habilidades relacionadas con el autoaprendizaje continuo. En especial, los estudiantes abordarán las temáticas asociadas directamente al Hardware “Capa Física” y “Cableado Estructurado” en sesiones prácticas de Laboratorio.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fomentará la evaluación del conocimiento adquirido, el nivel de comprensión, la capacidad de análisis, síntesis, y aplicación. Esto será medido a través de controles periódicos más dos pruebas solemnes y un examen final escrito en la hora y día que establezca la Dirección de la Escuela.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fomentará también el desarrollo de habilidades relacionadas con la expresión oral y escrita, así como de trabajo grupal y procesamiento de datos medidos, a partir de la realización de presentaciones orales, prácticas de laboratorio (con sus respectivos informes) y trabajos de investigación. Esto se evaluará mediante presentaciones orales y en la evaluación de informes escritos (laboratorios, tareas, trabajos).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ind w:left="566" w:firstLine="0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6. Descripción general de la modalidad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Se realizarán controles parciales, al menos 4 prácticas de laboratorio, dos pruebas solemnes y un examen final.</w:t>
      </w:r>
    </w:p>
    <w:p w:rsidR="00000000" w:rsidDel="00000000" w:rsidP="00000000" w:rsidRDefault="00000000" w:rsidRPr="00000000" w14:paraId="00000042">
      <w:pP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Las experiencias de laboratorio serán evaluadas mediante un control y el informe correspondiente. Para aprobar la asignatura el/la estudiante DEBE haber aprobado el laboratorio (nota promedio de igual o superior a 4.0), donde la asistencia al 100% de las experiencias es una condición necesaria, pero no suficiente. En caso contrario, el/la estudiante reprobará la asignatura con nota final igual al mínimo entre el promedio de sus experiencias de laboratorio y 3.9.</w:t>
      </w:r>
    </w:p>
    <w:p w:rsidR="00000000" w:rsidDel="00000000" w:rsidP="00000000" w:rsidRDefault="00000000" w:rsidRPr="00000000" w14:paraId="00000043">
      <w:pPr>
        <w:tabs>
          <w:tab w:val="left" w:leader="none" w:pos="566"/>
        </w:tabs>
        <w:spacing w:before="5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6"/>
        </w:tabs>
        <w:spacing w:before="56" w:lineRule="auto"/>
        <w:ind w:left="5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 xml:space="preserve">Podrán eximirse el/la estudiante cuya nota de presentación sea superior a 5.0, que hayan rendido todas sus evaluaciones.</w:t>
      </w:r>
    </w:p>
    <w:p w:rsidR="00000000" w:rsidDel="00000000" w:rsidP="00000000" w:rsidRDefault="00000000" w:rsidRPr="00000000" w14:paraId="00000045">
      <w:pPr>
        <w:tabs>
          <w:tab w:val="left" w:leader="none" w:pos="566"/>
        </w:tabs>
        <w:spacing w:before="5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6"/>
        </w:tabs>
        <w:spacing w:before="56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Bibliografía Básica Obligatoria: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46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0" w:line="240" w:lineRule="auto"/>
        <w:ind w:left="-94" w:right="618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S. Tanenbaum y David J. Wetherall.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de computadoras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5ta Ed., Pearson Educación, 2012.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0" w:line="240" w:lineRule="auto"/>
        <w:ind w:left="-94" w:right="6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PAUTAS ÉTICAS BASICAS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aula es un espacio donde los intercambios buscan generar un clima que potencie el aprendizaje, basado en el respeto y el buen trato. Las diferencias, tanto entre estudiantes, como entre estudiante y docentes, deben abordarse desde este marco de respeto.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universidad cuenta con dos reglamentos importantes de conocer: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Reglamento de Convivencia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•</w:t>
        <w:tab/>
        <w:t xml:space="preserve">Normativa de Prevención y Sanción de Acciones de Discriminación, Violencia Sexual y/o de Género.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Puedes consultar los reglamentos aquí: https://www.udp.cl/universidad/reglamentos-y-politicas/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plagio comprobado es una actitud que puede resultar en severas sanciones disciplinarias y/o en la exclusión de la Universidad (Artículo 44, Reglamento del Estudiante de Pregrado).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Elaborado por: Nicolás Hidalgo, Diego Dujovne y Jaime Álvarez. 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Revisado por: Diego Dujovne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Fecha revisión: Marzo 2025 Fecha vigencia: Marzo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94" w:hanging="360"/>
      </w:pPr>
      <w:rPr/>
    </w:lvl>
    <w:lvl w:ilvl="1">
      <w:start w:val="1"/>
      <w:numFmt w:val="decimal"/>
      <w:lvlText w:val="%2."/>
      <w:lvlJc w:val="left"/>
      <w:pPr>
        <w:ind w:left="266" w:hanging="360"/>
      </w:pPr>
      <w:rPr/>
    </w:lvl>
    <w:lvl w:ilvl="2">
      <w:start w:val="1"/>
      <w:numFmt w:val="decimal"/>
      <w:lvlText w:val="%3."/>
      <w:lvlJc w:val="left"/>
      <w:pPr>
        <w:ind w:left="626" w:hanging="360"/>
      </w:pPr>
      <w:rPr/>
    </w:lvl>
    <w:lvl w:ilvl="3">
      <w:start w:val="1"/>
      <w:numFmt w:val="decimal"/>
      <w:lvlText w:val="%4."/>
      <w:lvlJc w:val="left"/>
      <w:pPr>
        <w:ind w:left="986" w:hanging="360"/>
      </w:pPr>
      <w:rPr/>
    </w:lvl>
    <w:lvl w:ilvl="4">
      <w:start w:val="1"/>
      <w:numFmt w:val="decimal"/>
      <w:lvlText w:val="%5."/>
      <w:lvlJc w:val="left"/>
      <w:pPr>
        <w:ind w:left="1346" w:hanging="360"/>
      </w:pPr>
      <w:rPr/>
    </w:lvl>
    <w:lvl w:ilvl="5">
      <w:start w:val="1"/>
      <w:numFmt w:val="decimal"/>
      <w:lvlText w:val="%6."/>
      <w:lvlJc w:val="left"/>
      <w:pPr>
        <w:ind w:left="1706" w:hanging="360"/>
      </w:pPr>
      <w:rPr/>
    </w:lvl>
    <w:lvl w:ilvl="6">
      <w:start w:val="1"/>
      <w:numFmt w:val="decimal"/>
      <w:lvlText w:val="%7."/>
      <w:lvlJc w:val="left"/>
      <w:pPr>
        <w:ind w:left="2066" w:hanging="360"/>
      </w:pPr>
      <w:rPr/>
    </w:lvl>
    <w:lvl w:ilvl="7">
      <w:start w:val="1"/>
      <w:numFmt w:val="decimal"/>
      <w:lvlText w:val="%8."/>
      <w:lvlJc w:val="left"/>
      <w:pPr>
        <w:ind w:left="2426" w:hanging="360"/>
      </w:pPr>
      <w:rPr/>
    </w:lvl>
    <w:lvl w:ilvl="8">
      <w:start w:val="1"/>
      <w:numFmt w:val="decimal"/>
      <w:lvlText w:val="%9."/>
      <w:lvlJc w:val="left"/>
      <w:pPr>
        <w:ind w:left="2786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2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4F775A"/>
    <w:pPr>
      <w:autoSpaceDE w:val="0"/>
      <w:autoSpaceDN w:val="0"/>
    </w:pPr>
    <w:rPr>
      <w:lang w:bidi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F775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F775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F775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F775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F775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F775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F775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F775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F775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F775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F775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F77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F775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F775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F775A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F775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F775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F775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F775A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F775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F775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F775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F775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link w:val="ListParagraphChar"/>
    <w:uiPriority w:val="1"/>
    <w:qFormat w:val="1"/>
    <w:rsid w:val="004F775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F775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F775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775A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F775A"/>
    <w:rPr>
      <w:b w:val="1"/>
      <w:bCs w:val="1"/>
      <w:smallCaps w:val="1"/>
      <w:color w:val="2f5496" w:themeColor="accent1" w:themeShade="0000BF"/>
      <w:spacing w:val="5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locked w:val="1"/>
    <w:rsid w:val="004F775A"/>
  </w:style>
  <w:style w:type="character" w:styleId="Strong">
    <w:name w:val="Strong"/>
    <w:basedOn w:val="DefaultParagraphFont"/>
    <w:uiPriority w:val="22"/>
    <w:qFormat w:val="1"/>
    <w:rsid w:val="004F775A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4F775A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4F775A"/>
    <w:rPr>
      <w:i w:val="1"/>
      <w:iCs w:val="1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5Jt81+HMYLa2YFjR1XqhqAvUEQ==">CgMxLjAyDWgubGNtbWxlejBkMzc4AHIhMWxUellNMFdDSjVCOXpmMjVENVFEMHVRSXJqRHJBRlV4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2025-03-23T21:07:00Z</dcterms:created>
  <dc:creator>Jonathan Frez Zachary</dc:creator>
</cp:coreProperties>
</file>