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E3A22" w14:textId="77777777" w:rsidR="00AD3973" w:rsidRDefault="004439BD">
      <w:pPr>
        <w:pageBreakBefore/>
        <w:ind w:right="46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Facultad de Ingeniería y Ciencias</w:t>
      </w:r>
      <w:r>
        <w:rPr>
          <w:rFonts w:ascii="Arial" w:eastAsia="Arial" w:hAnsi="Arial" w:cs="Arial"/>
          <w:b/>
          <w:sz w:val="20"/>
          <w:szCs w:val="20"/>
        </w:rPr>
        <w:br/>
        <w:t>Escuela de Informática y Telecomunicaciones</w:t>
      </w:r>
    </w:p>
    <w:p w14:paraId="2878EC4A" w14:textId="77777777" w:rsidR="00AD3973" w:rsidRDefault="00AD3973">
      <w:pPr>
        <w:ind w:right="46"/>
        <w:jc w:val="center"/>
        <w:rPr>
          <w:rFonts w:ascii="Arial" w:eastAsia="Arial" w:hAnsi="Arial" w:cs="Arial"/>
          <w:b/>
          <w:sz w:val="20"/>
          <w:szCs w:val="20"/>
        </w:rPr>
      </w:pPr>
    </w:p>
    <w:p w14:paraId="420DA6BA" w14:textId="10F69417" w:rsidR="00AD3973" w:rsidRDefault="004439BD">
      <w:pPr>
        <w:ind w:right="46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PROGRAMA DE ASIGNATURA</w:t>
      </w:r>
      <w:r>
        <w:rPr>
          <w:rFonts w:ascii="Arial" w:eastAsia="Arial" w:hAnsi="Arial" w:cs="Arial"/>
          <w:b/>
          <w:sz w:val="20"/>
          <w:szCs w:val="20"/>
        </w:rPr>
        <w:br/>
      </w:r>
      <w:r w:rsidR="00BE74D2" w:rsidRPr="00BE74D2">
        <w:rPr>
          <w:rFonts w:ascii="Arial" w:eastAsia="Arial" w:hAnsi="Arial" w:cs="Arial"/>
          <w:sz w:val="20"/>
          <w:szCs w:val="20"/>
        </w:rPr>
        <w:t>Redes Avanzadas y Seguridad de Información</w:t>
      </w:r>
      <w:r w:rsidR="00BE74D2">
        <w:rPr>
          <w:rFonts w:ascii="Arial" w:eastAsia="Arial" w:hAnsi="Arial" w:cs="Arial"/>
          <w:sz w:val="20"/>
          <w:szCs w:val="20"/>
        </w:rPr>
        <w:tab/>
      </w:r>
    </w:p>
    <w:p w14:paraId="20C2113A" w14:textId="77777777" w:rsidR="00AD3973" w:rsidRDefault="00AD3973">
      <w:pPr>
        <w:ind w:right="46"/>
        <w:jc w:val="center"/>
        <w:rPr>
          <w:rFonts w:ascii="Arial" w:eastAsia="Arial" w:hAnsi="Arial" w:cs="Arial"/>
          <w:sz w:val="20"/>
          <w:szCs w:val="20"/>
        </w:rPr>
      </w:pPr>
    </w:p>
    <w:p w14:paraId="501BA7E0" w14:textId="77777777" w:rsidR="00AD3973" w:rsidRDefault="00AD3973">
      <w:pPr>
        <w:ind w:right="46"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500412FE" w14:textId="77777777" w:rsidR="00AD3973" w:rsidRDefault="004439BD">
      <w:pPr>
        <w:numPr>
          <w:ilvl w:val="0"/>
          <w:numId w:val="7"/>
        </w:num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Identificación de la asignatura:</w:t>
      </w:r>
    </w:p>
    <w:p w14:paraId="47597337" w14:textId="77777777" w:rsidR="00AD3973" w:rsidRDefault="00AD3973">
      <w:pPr>
        <w:tabs>
          <w:tab w:val="left" w:pos="565"/>
          <w:tab w:val="left" w:pos="566"/>
        </w:tabs>
        <w:ind w:left="566"/>
        <w:rPr>
          <w:rFonts w:ascii="Arial" w:eastAsia="Arial" w:hAnsi="Arial" w:cs="Arial"/>
          <w:b/>
          <w:i/>
          <w:sz w:val="20"/>
          <w:szCs w:val="20"/>
        </w:rPr>
      </w:pPr>
    </w:p>
    <w:tbl>
      <w:tblPr>
        <w:tblStyle w:val="a"/>
        <w:tblpPr w:leftFromText="180" w:rightFromText="180" w:topFromText="180" w:bottomFromText="180" w:vertAnchor="text"/>
        <w:tblW w:w="8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5625"/>
      </w:tblGrid>
      <w:tr w:rsidR="00BE74D2" w14:paraId="6D2029F4" w14:textId="77777777">
        <w:tc>
          <w:tcPr>
            <w:tcW w:w="8820" w:type="dxa"/>
            <w:gridSpan w:val="2"/>
          </w:tcPr>
          <w:p w14:paraId="4DA5CFC2" w14:textId="1E920217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bookmarkStart w:id="0" w:name="_heading=h.lcmmlez0d37" w:colFirst="0" w:colLast="0"/>
            <w:bookmarkEnd w:id="0"/>
            <w:r w:rsidRPr="00246113">
              <w:t>Nombre de la Asignatura: Redes Avanzadas y Seguridad de Información</w:t>
            </w:r>
          </w:p>
        </w:tc>
      </w:tr>
      <w:tr w:rsidR="00BE74D2" w14:paraId="005C9CFB" w14:textId="77777777">
        <w:tc>
          <w:tcPr>
            <w:tcW w:w="3195" w:type="dxa"/>
          </w:tcPr>
          <w:p w14:paraId="05F665BD" w14:textId="22A53D86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46113">
              <w:t>Códigos: CIT-3600</w:t>
            </w:r>
          </w:p>
        </w:tc>
        <w:tc>
          <w:tcPr>
            <w:tcW w:w="5625" w:type="dxa"/>
          </w:tcPr>
          <w:p w14:paraId="58A9ACF2" w14:textId="0A34A8E7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46113">
              <w:t>Créditos: 6</w:t>
            </w:r>
          </w:p>
        </w:tc>
      </w:tr>
      <w:tr w:rsidR="00BE74D2" w14:paraId="03FF8B7B" w14:textId="77777777">
        <w:tc>
          <w:tcPr>
            <w:tcW w:w="3195" w:type="dxa"/>
          </w:tcPr>
          <w:p w14:paraId="7BFEED39" w14:textId="3D676137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46113">
              <w:t>Duración: Semestral</w:t>
            </w:r>
          </w:p>
        </w:tc>
        <w:tc>
          <w:tcPr>
            <w:tcW w:w="5625" w:type="dxa"/>
          </w:tcPr>
          <w:p w14:paraId="7DDF8BB5" w14:textId="7C4C9F58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46113">
              <w:t>Ubicación en el plan de estudios: Semestre 9</w:t>
            </w:r>
          </w:p>
        </w:tc>
      </w:tr>
      <w:tr w:rsidR="00BE74D2" w14:paraId="142D908A" w14:textId="77777777">
        <w:tc>
          <w:tcPr>
            <w:tcW w:w="8820" w:type="dxa"/>
            <w:gridSpan w:val="2"/>
          </w:tcPr>
          <w:p w14:paraId="7D96905F" w14:textId="20655AC4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46113">
              <w:t>Requisitos: CIT-2311 Sistemas distribuidos, CIT-2413 Criptografía y Seguridad en Redes</w:t>
            </w:r>
          </w:p>
        </w:tc>
      </w:tr>
      <w:tr w:rsidR="00BE74D2" w14:paraId="5610FBB9" w14:textId="77777777">
        <w:tc>
          <w:tcPr>
            <w:tcW w:w="8820" w:type="dxa"/>
            <w:gridSpan w:val="2"/>
          </w:tcPr>
          <w:p w14:paraId="330EB3B5" w14:textId="24B60FA1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46113">
              <w:t>Sesiones cátedras semanales: 2 cátedras</w:t>
            </w:r>
          </w:p>
        </w:tc>
      </w:tr>
      <w:tr w:rsidR="00BE74D2" w14:paraId="60255953" w14:textId="77777777">
        <w:tc>
          <w:tcPr>
            <w:tcW w:w="8820" w:type="dxa"/>
            <w:gridSpan w:val="2"/>
          </w:tcPr>
          <w:p w14:paraId="6495C14B" w14:textId="778262AF" w:rsidR="00BE74D2" w:rsidRDefault="00BE74D2" w:rsidP="00BE74D2">
            <w:pPr>
              <w:widowControl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46113">
              <w:t>Sesiones de Ayudantía: 1</w:t>
            </w:r>
          </w:p>
        </w:tc>
      </w:tr>
    </w:tbl>
    <w:p w14:paraId="5B6337C8" w14:textId="77777777" w:rsidR="00AD3973" w:rsidRDefault="00AD3973">
      <w:p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</w:p>
    <w:p w14:paraId="085FCBB4" w14:textId="77777777" w:rsidR="00AD3973" w:rsidRDefault="004439BD">
      <w:pPr>
        <w:numPr>
          <w:ilvl w:val="0"/>
          <w:numId w:val="7"/>
        </w:numPr>
        <w:tabs>
          <w:tab w:val="left" w:pos="565"/>
          <w:tab w:val="left" w:pos="566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Descripción de la asignatura:</w:t>
      </w:r>
    </w:p>
    <w:p w14:paraId="5E166CEA" w14:textId="77777777" w:rsidR="00AD3973" w:rsidRDefault="00AD3973">
      <w:pPr>
        <w:tabs>
          <w:tab w:val="left" w:pos="565"/>
          <w:tab w:val="left" w:pos="566"/>
        </w:tabs>
        <w:ind w:left="139"/>
        <w:rPr>
          <w:rFonts w:ascii="Arial" w:eastAsia="Arial" w:hAnsi="Arial" w:cs="Arial"/>
          <w:i/>
          <w:sz w:val="20"/>
          <w:szCs w:val="20"/>
        </w:rPr>
      </w:pPr>
    </w:p>
    <w:p w14:paraId="0C50EFE9" w14:textId="77777777" w:rsidR="00BE74D2" w:rsidRPr="00BE74D2" w:rsidRDefault="008E49F9" w:rsidP="00BE74D2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 w:rsidR="00BE74D2" w:rsidRPr="00BE74D2">
        <w:rPr>
          <w:rFonts w:ascii="Arial" w:eastAsia="Arial" w:hAnsi="Arial" w:cs="Arial"/>
          <w:sz w:val="20"/>
          <w:szCs w:val="20"/>
        </w:rPr>
        <w:t xml:space="preserve">Para un futuro Ingeniero Civil en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Informática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y Telecomunicaciones resulta esencial el poder conocer las arquitecturas emergentes que se utilizan en los sistemas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informáticos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o en las redes de datos empresariales. </w:t>
      </w:r>
    </w:p>
    <w:p w14:paraId="18108249" w14:textId="6887CCCB" w:rsidR="00BE74D2" w:rsidRPr="00BE74D2" w:rsidRDefault="00BE74D2" w:rsidP="00BE74D2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 w:rsidRPr="00BE74D2">
        <w:rPr>
          <w:rFonts w:ascii="Arial" w:eastAsia="Arial" w:hAnsi="Arial" w:cs="Arial"/>
          <w:sz w:val="20"/>
          <w:szCs w:val="20"/>
        </w:rPr>
        <w:t>Así también, debe conocer los objetivos, normas y buenas prácticas que orientan la selección, diseño y operación de las arquitecturas aplicadas en dichos sistemas y redes, con un foco en la agregación de valor y cumplimiento de los requerimientos del negocio o actividad.</w:t>
      </w:r>
    </w:p>
    <w:p w14:paraId="1B8DEEA6" w14:textId="1E66CB09" w:rsidR="00AD3973" w:rsidRDefault="00BE74D2" w:rsidP="00BE74D2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BE74D2">
        <w:rPr>
          <w:rFonts w:ascii="Arial" w:eastAsia="Arial" w:hAnsi="Arial" w:cs="Arial"/>
          <w:sz w:val="20"/>
          <w:szCs w:val="20"/>
        </w:rPr>
        <w:t xml:space="preserve">En este contexto, este ingeniero debe proveer soluciones técnicamente factibles y proyectivas, para asegurar la eficiencia y la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utilización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de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tecnologías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que aporten competitividad. Para ello, este curso entrega las herramientas necesarias para desarrollar de manera apropiada estas tareas.</w:t>
      </w:r>
    </w:p>
    <w:p w14:paraId="2F0929C7" w14:textId="77777777" w:rsidR="00AD3973" w:rsidRDefault="00AD3973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</w:p>
    <w:p w14:paraId="0D94781C" w14:textId="77777777" w:rsidR="00AD3973" w:rsidRPr="009903B5" w:rsidRDefault="004439BD">
      <w:pPr>
        <w:numPr>
          <w:ilvl w:val="0"/>
          <w:numId w:val="7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de Aprendizaje:</w:t>
      </w:r>
    </w:p>
    <w:p w14:paraId="1EE43F00" w14:textId="77777777" w:rsidR="009903B5" w:rsidRDefault="009903B5" w:rsidP="009903B5">
      <w:pPr>
        <w:tabs>
          <w:tab w:val="left" w:pos="709"/>
        </w:tabs>
        <w:ind w:left="720" w:right="46"/>
        <w:jc w:val="both"/>
        <w:rPr>
          <w:rFonts w:ascii="Arial" w:eastAsia="Arial" w:hAnsi="Arial" w:cs="Arial"/>
          <w:sz w:val="20"/>
          <w:szCs w:val="20"/>
        </w:rPr>
      </w:pPr>
    </w:p>
    <w:p w14:paraId="08BD5E6E" w14:textId="77777777" w:rsidR="00DA5CD6" w:rsidRPr="00DA5CD6" w:rsidRDefault="00DA5CD6" w:rsidP="00DA5CD6">
      <w:pPr>
        <w:pStyle w:val="ListParagraph"/>
        <w:numPr>
          <w:ilvl w:val="0"/>
          <w:numId w:val="13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DA5CD6">
        <w:rPr>
          <w:rFonts w:ascii="Arial" w:eastAsia="Arial" w:hAnsi="Arial" w:cs="Arial"/>
          <w:sz w:val="20"/>
          <w:szCs w:val="20"/>
        </w:rPr>
        <w:t>Determina los requerimientos estratégicos del negocio o actividad en cuanto a soporte informático y de telecomunicaciones, que condicionan las arquitecturas de las soluciones y su forma de operarlas.</w:t>
      </w:r>
    </w:p>
    <w:p w14:paraId="63DC59B5" w14:textId="71002814" w:rsidR="00DA5CD6" w:rsidRPr="00DA5CD6" w:rsidRDefault="00DA5CD6" w:rsidP="00DA5CD6">
      <w:pPr>
        <w:pStyle w:val="ListParagraph"/>
        <w:numPr>
          <w:ilvl w:val="0"/>
          <w:numId w:val="13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DA5CD6">
        <w:rPr>
          <w:rFonts w:ascii="Arial" w:eastAsia="Arial" w:hAnsi="Arial" w:cs="Arial"/>
          <w:sz w:val="20"/>
          <w:szCs w:val="20"/>
        </w:rPr>
        <w:t xml:space="preserve">Diseña y/o evalúa la eficiencia de arquitecturas </w:t>
      </w:r>
      <w:proofErr w:type="spellStart"/>
      <w:r w:rsidRPr="00DA5CD6">
        <w:rPr>
          <w:rFonts w:ascii="Arial" w:eastAsia="Arial" w:hAnsi="Arial" w:cs="Arial"/>
          <w:sz w:val="20"/>
          <w:szCs w:val="20"/>
        </w:rPr>
        <w:t>cloud</w:t>
      </w:r>
      <w:proofErr w:type="spellEnd"/>
      <w:r w:rsidRPr="00DA5CD6">
        <w:rPr>
          <w:rFonts w:ascii="Arial" w:eastAsia="Arial" w:hAnsi="Arial" w:cs="Arial"/>
          <w:sz w:val="20"/>
          <w:szCs w:val="20"/>
        </w:rPr>
        <w:t>, para la correcta transmisión y manejo de datos.</w:t>
      </w:r>
    </w:p>
    <w:p w14:paraId="176A53FE" w14:textId="7B6A9B33" w:rsidR="00DA5CD6" w:rsidRPr="00DA5CD6" w:rsidRDefault="00DA5CD6" w:rsidP="00DA5CD6">
      <w:pPr>
        <w:pStyle w:val="ListParagraph"/>
        <w:numPr>
          <w:ilvl w:val="0"/>
          <w:numId w:val="13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DA5CD6">
        <w:rPr>
          <w:rFonts w:ascii="Arial" w:eastAsia="Arial" w:hAnsi="Arial" w:cs="Arial"/>
          <w:sz w:val="20"/>
          <w:szCs w:val="20"/>
        </w:rPr>
        <w:t>Analiza de forma crítica el desempeño de arquitecturas de alta disponibilidad que operan servicios clásicos, para el desarrollo de soluciones TI.</w:t>
      </w:r>
    </w:p>
    <w:p w14:paraId="6524E594" w14:textId="43902E55" w:rsidR="00DA5CD6" w:rsidRPr="00DA5CD6" w:rsidRDefault="00DA5CD6" w:rsidP="00DA5CD6">
      <w:pPr>
        <w:pStyle w:val="ListParagraph"/>
        <w:numPr>
          <w:ilvl w:val="0"/>
          <w:numId w:val="13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DA5CD6">
        <w:rPr>
          <w:rFonts w:ascii="Arial" w:eastAsia="Arial" w:hAnsi="Arial" w:cs="Arial"/>
          <w:sz w:val="20"/>
          <w:szCs w:val="20"/>
        </w:rPr>
        <w:t>Identifica cómo las normas y buenas prácticas impactan en la eficiencia y la seguridad de los sistemas de telecomunicaciones, garantizando la calidad, la sostenibilidad y la seguridad en los entornos tecnológicos.</w:t>
      </w:r>
    </w:p>
    <w:p w14:paraId="5C2BFEBB" w14:textId="0E35B3CA" w:rsidR="00AD3973" w:rsidRPr="00BE74D2" w:rsidRDefault="00DA5CD6" w:rsidP="00DA5CD6">
      <w:pPr>
        <w:pStyle w:val="ListParagraph"/>
        <w:numPr>
          <w:ilvl w:val="0"/>
          <w:numId w:val="13"/>
        </w:num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 w:rsidRPr="00DA5CD6">
        <w:rPr>
          <w:rFonts w:ascii="Arial" w:eastAsia="Arial" w:hAnsi="Arial" w:cs="Arial"/>
          <w:sz w:val="20"/>
          <w:szCs w:val="20"/>
        </w:rPr>
        <w:t>Evalúa riesgos y aplica controles, en la operación de infraestructura tecnológica, a partir de normativas nacionales e internacionales.</w:t>
      </w:r>
    </w:p>
    <w:p w14:paraId="15FB1883" w14:textId="77777777" w:rsidR="009903B5" w:rsidRDefault="009903B5">
      <w:pPr>
        <w:autoSpaceDE/>
        <w:autoSpaceDN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1ED820FB" w14:textId="3551962D" w:rsidR="00AD3973" w:rsidRDefault="004439BD">
      <w:pPr>
        <w:tabs>
          <w:tab w:val="left" w:pos="709"/>
        </w:tabs>
        <w:ind w:right="4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br/>
      </w:r>
      <w:r>
        <w:rPr>
          <w:rFonts w:ascii="Arial" w:eastAsia="Arial" w:hAnsi="Arial" w:cs="Arial"/>
          <w:b/>
          <w:sz w:val="20"/>
          <w:szCs w:val="20"/>
        </w:rPr>
        <w:t>4. U</w:t>
      </w:r>
      <w:r>
        <w:rPr>
          <w:rFonts w:ascii="Arial" w:eastAsia="Arial" w:hAnsi="Arial" w:cs="Arial"/>
          <w:b/>
          <w:color w:val="000000"/>
          <w:sz w:val="20"/>
          <w:szCs w:val="20"/>
        </w:rPr>
        <w:t>nidades Temáticas:</w:t>
      </w:r>
    </w:p>
    <w:p w14:paraId="738370C4" w14:textId="77777777" w:rsidR="00BE74D2" w:rsidRDefault="00BE74D2" w:rsidP="00BE74D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1: </w:t>
      </w:r>
    </w:p>
    <w:p w14:paraId="7F00CC49" w14:textId="4179AA34" w:rsidR="00BE74D2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Introducción y Características de las Arquitecturas Emergentes</w:t>
      </w:r>
    </w:p>
    <w:p w14:paraId="07A86127" w14:textId="77777777" w:rsid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Introducción a las arquitecturas emergentes. Visión de las diversas arquitecturas. Principales arquitecturas tradicionales. Arquitecturas complejas. Arquitecturas de alta disponibilidad: Redes jerárquicas,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bounding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y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multihoming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. </w:t>
      </w:r>
    </w:p>
    <w:p w14:paraId="5CAA0CB8" w14:textId="0CA3EC2E" w:rsidR="00BE74D2" w:rsidRPr="00DA5CD6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  <w:lang w:val="en-US"/>
        </w:rPr>
      </w:pP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Datacenters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y zonas de disponibilidad. </w:t>
      </w:r>
      <w:proofErr w:type="spellStart"/>
      <w:r w:rsidRPr="00DA5CD6">
        <w:rPr>
          <w:rFonts w:ascii="Arial" w:eastAsia="Arial" w:hAnsi="Arial" w:cs="Arial"/>
          <w:bCs/>
          <w:iCs/>
          <w:color w:val="000000"/>
          <w:sz w:val="20"/>
          <w:szCs w:val="20"/>
          <w:lang w:val="en-US"/>
        </w:rPr>
        <w:t>Arquitecturas</w:t>
      </w:r>
      <w:proofErr w:type="spellEnd"/>
      <w:r w:rsidRPr="00DA5CD6">
        <w:rPr>
          <w:rFonts w:ascii="Arial" w:eastAsia="Arial" w:hAnsi="Arial" w:cs="Arial"/>
          <w:bCs/>
          <w:iCs/>
          <w:color w:val="000000"/>
          <w:sz w:val="20"/>
          <w:szCs w:val="20"/>
          <w:lang w:val="en-US"/>
        </w:rPr>
        <w:t xml:space="preserve"> </w:t>
      </w:r>
      <w:proofErr w:type="gramStart"/>
      <w:r w:rsidRPr="00DA5CD6">
        <w:rPr>
          <w:rFonts w:ascii="Arial" w:eastAsia="Arial" w:hAnsi="Arial" w:cs="Arial"/>
          <w:bCs/>
          <w:iCs/>
          <w:color w:val="000000"/>
          <w:sz w:val="20"/>
          <w:szCs w:val="20"/>
          <w:lang w:val="en-US"/>
        </w:rPr>
        <w:t>on-premise</w:t>
      </w:r>
      <w:proofErr w:type="gramEnd"/>
      <w:r w:rsidRPr="00DA5CD6">
        <w:rPr>
          <w:rFonts w:ascii="Arial" w:eastAsia="Arial" w:hAnsi="Arial" w:cs="Arial"/>
          <w:bCs/>
          <w:iCs/>
          <w:color w:val="000000"/>
          <w:sz w:val="20"/>
          <w:szCs w:val="20"/>
          <w:lang w:val="en-US"/>
        </w:rPr>
        <w:t xml:space="preserve">. </w:t>
      </w:r>
      <w:proofErr w:type="spellStart"/>
      <w:r w:rsidRPr="00DA5CD6">
        <w:rPr>
          <w:rFonts w:ascii="Arial" w:eastAsia="Arial" w:hAnsi="Arial" w:cs="Arial"/>
          <w:bCs/>
          <w:iCs/>
          <w:color w:val="000000"/>
          <w:sz w:val="20"/>
          <w:szCs w:val="20"/>
          <w:lang w:val="en-US"/>
        </w:rPr>
        <w:t>Arquitecturas</w:t>
      </w:r>
      <w:proofErr w:type="spellEnd"/>
      <w:r w:rsidRPr="00DA5CD6">
        <w:rPr>
          <w:rFonts w:ascii="Arial" w:eastAsia="Arial" w:hAnsi="Arial" w:cs="Arial"/>
          <w:bCs/>
          <w:iCs/>
          <w:color w:val="000000"/>
          <w:sz w:val="20"/>
          <w:szCs w:val="20"/>
          <w:lang w:val="en-US"/>
        </w:rPr>
        <w:t xml:space="preserve"> cloud: Virtual Private Cloud (VPC).</w:t>
      </w:r>
    </w:p>
    <w:p w14:paraId="1038B20D" w14:textId="77777777" w:rsidR="00BE74D2" w:rsidRDefault="00BE74D2" w:rsidP="00BE74D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2: </w:t>
      </w:r>
    </w:p>
    <w:p w14:paraId="3DC6FF00" w14:textId="148A1447" w:rsidR="00BE74D2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Herramientas para Desarrollos Cloud</w:t>
      </w:r>
    </w:p>
    <w:p w14:paraId="1D145EE1" w14:textId="77777777" w:rsid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Listas de control de acceso a redes y subredes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cloud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. Modelo de responsabilidad compartida. Arquitecturas para migraciones en entornos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cloud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. Diseño de componentes AWS como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CloudFront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,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Route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53 y Load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Balancer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. Cloud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Adoption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Framework (CAF) y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Well-Architected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Framework (WAF). </w:t>
      </w:r>
    </w:p>
    <w:p w14:paraId="16316D1C" w14:textId="6B61AC1A" w:rsidR="00BE74D2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Temas emergentes en las redes de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core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 y </w:t>
      </w:r>
      <w:proofErr w:type="spellStart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cloud</w:t>
      </w:r>
      <w:proofErr w:type="spellEnd"/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. Características y requerimientos estratégicos.</w:t>
      </w:r>
    </w:p>
    <w:p w14:paraId="020125D1" w14:textId="77777777" w:rsidR="00BE74D2" w:rsidRDefault="00BE74D2" w:rsidP="00BE74D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3: </w:t>
      </w:r>
    </w:p>
    <w:p w14:paraId="30F2E7F1" w14:textId="6A13506C" w:rsidR="00BE74D2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Normativa</w:t>
      </w:r>
    </w:p>
    <w:p w14:paraId="5F9F37FF" w14:textId="77777777" w:rsid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Visión de las Normas y Buenas Prácticas, para el diseño y operación de servicios de TI, Análisis de Riesgo en la prestación de servicios de TI. Normas Aplicables a los Servicios de TI. </w:t>
      </w:r>
    </w:p>
    <w:p w14:paraId="71B8D5A7" w14:textId="318893EA" w:rsidR="00BE74D2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Dimensiones de la Seguridad de información en ISO 27.001. ITIL y dimensiones en ISO 20.000.</w:t>
      </w:r>
    </w:p>
    <w:p w14:paraId="07239536" w14:textId="77777777" w:rsidR="00BE74D2" w:rsidRDefault="00BE74D2" w:rsidP="00BE74D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Cs/>
          <w:color w:val="000000"/>
          <w:sz w:val="20"/>
          <w:szCs w:val="20"/>
        </w:rPr>
      </w:pPr>
      <w:r w:rsidRPr="00BE74D2">
        <w:rPr>
          <w:rFonts w:ascii="Arial" w:eastAsia="Arial" w:hAnsi="Arial" w:cs="Arial"/>
          <w:b/>
          <w:iCs/>
          <w:color w:val="000000"/>
          <w:sz w:val="20"/>
          <w:szCs w:val="20"/>
        </w:rPr>
        <w:t xml:space="preserve">Unidad 4: </w:t>
      </w:r>
    </w:p>
    <w:p w14:paraId="3A5B50FA" w14:textId="2D7C06A4" w:rsidR="00BE74D2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 xml:space="preserve">Introducción a la Gestión de servicio mediante ITIL </w:t>
      </w:r>
    </w:p>
    <w:p w14:paraId="5C32318E" w14:textId="77777777" w:rsidR="00BE74D2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Diseño de la Gestión de servicio mediante ITIL.</w:t>
      </w:r>
    </w:p>
    <w:p w14:paraId="4B03578D" w14:textId="5C3E46E2" w:rsidR="009903B5" w:rsidRPr="00BE74D2" w:rsidRDefault="00BE74D2" w:rsidP="00BE74D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Cs/>
          <w:sz w:val="20"/>
          <w:szCs w:val="20"/>
        </w:rPr>
      </w:pPr>
      <w:r w:rsidRPr="00BE74D2">
        <w:rPr>
          <w:rFonts w:ascii="Arial" w:eastAsia="Arial" w:hAnsi="Arial" w:cs="Arial"/>
          <w:bCs/>
          <w:iCs/>
          <w:color w:val="000000"/>
          <w:sz w:val="20"/>
          <w:szCs w:val="20"/>
        </w:rPr>
        <w:t>Implementación de una Mesa de servicio.</w:t>
      </w:r>
    </w:p>
    <w:p w14:paraId="7F7D48A4" w14:textId="77777777" w:rsidR="00BE74D2" w:rsidRDefault="00BE74D2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sz w:val="20"/>
          <w:szCs w:val="20"/>
        </w:rPr>
      </w:pPr>
    </w:p>
    <w:p w14:paraId="43A8BA24" w14:textId="475769A9" w:rsidR="00AD3973" w:rsidRDefault="004439BD">
      <w:pPr>
        <w:pBdr>
          <w:top w:val="nil"/>
          <w:left w:val="nil"/>
          <w:bottom w:val="nil"/>
          <w:right w:val="nil"/>
          <w:between w:val="nil"/>
        </w:pBdr>
        <w:spacing w:before="56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5. Descripción general del método de enseñanza:</w:t>
      </w:r>
    </w:p>
    <w:p w14:paraId="3AF9BE7C" w14:textId="77777777" w:rsidR="00AD3973" w:rsidRDefault="00AD3973">
      <w:pPr>
        <w:pBdr>
          <w:top w:val="nil"/>
          <w:left w:val="nil"/>
          <w:bottom w:val="nil"/>
          <w:right w:val="nil"/>
          <w:between w:val="nil"/>
        </w:pBdr>
        <w:ind w:left="566"/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65503504" w14:textId="77777777" w:rsidR="00BE74D2" w:rsidRPr="00BE74D2" w:rsidRDefault="009903B5" w:rsidP="00BE74D2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BE74D2" w:rsidRPr="00BE74D2">
        <w:rPr>
          <w:rFonts w:ascii="Arial" w:eastAsia="Arial" w:hAnsi="Arial" w:cs="Arial"/>
          <w:sz w:val="20"/>
          <w:szCs w:val="20"/>
        </w:rPr>
        <w:t xml:space="preserve">Las clases de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cátedra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serán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expositivas, dictadas por los profesores de la asignatura. Ellas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serán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basadas en presentaciones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electrónicas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, con apoyo adicional de herramientas de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simulación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. Se fomentará el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análisis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crítico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y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diseño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 comparado de arquitecturas de comunicaciones bajo restricciones. </w:t>
      </w:r>
    </w:p>
    <w:p w14:paraId="701DB932" w14:textId="4E303881" w:rsidR="00AD3973" w:rsidRDefault="00BE74D2" w:rsidP="00BE74D2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BE74D2">
        <w:rPr>
          <w:rFonts w:ascii="Arial" w:eastAsia="Arial" w:hAnsi="Arial" w:cs="Arial"/>
          <w:sz w:val="20"/>
          <w:szCs w:val="20"/>
        </w:rPr>
        <w:t xml:space="preserve">Durante la clase, los alumnos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trabajarán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en grupos. Ellos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desarrollarán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experiencias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prácticas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diseñadas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por el profesor,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además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de discutir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artículos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o soluciones publicadas en revistas y conferencias internacionales. Cada una de estas actividades finalizará con la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elaboración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de un trabajo escrito, que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de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cuenta de los resultados/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análisis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obtenidos. La lectura de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artículos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finalizará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también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con una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exposición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oral frente al grupo curso.</w:t>
      </w:r>
    </w:p>
    <w:p w14:paraId="030E4B7D" w14:textId="77777777" w:rsidR="00BE74D2" w:rsidRDefault="00BE74D2" w:rsidP="00BE74D2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3F56AA9A" w14:textId="77777777" w:rsidR="00AD3973" w:rsidRDefault="004439BD">
      <w:pPr>
        <w:tabs>
          <w:tab w:val="left" w:pos="566"/>
        </w:tabs>
        <w:spacing w:before="56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6. Descripción general de la modalidad de evaluación:</w:t>
      </w:r>
    </w:p>
    <w:p w14:paraId="7ADB9E19" w14:textId="77777777" w:rsidR="00AD3973" w:rsidRDefault="00AD3973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rPr>
          <w:rFonts w:ascii="Arial" w:eastAsia="Arial" w:hAnsi="Arial" w:cs="Arial"/>
          <w:b/>
          <w:sz w:val="20"/>
          <w:szCs w:val="20"/>
        </w:rPr>
      </w:pPr>
    </w:p>
    <w:p w14:paraId="2293DEE3" w14:textId="77777777" w:rsidR="00BE74D2" w:rsidRPr="00BE74D2" w:rsidRDefault="009903B5" w:rsidP="00BE74D2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BE74D2" w:rsidRPr="00BE74D2">
        <w:rPr>
          <w:rFonts w:ascii="Arial" w:eastAsia="Arial" w:hAnsi="Arial" w:cs="Arial"/>
          <w:sz w:val="20"/>
          <w:szCs w:val="20"/>
        </w:rPr>
        <w:t xml:space="preserve">Si un alumno obtiene un promedio de notas parciales inferior a 4.0, reprobará la asignatura con nota final igual al promedio en </w:t>
      </w:r>
      <w:proofErr w:type="spellStart"/>
      <w:r w:rsidR="00BE74D2" w:rsidRPr="00BE74D2">
        <w:rPr>
          <w:rFonts w:ascii="Arial" w:eastAsia="Arial" w:hAnsi="Arial" w:cs="Arial"/>
          <w:sz w:val="20"/>
          <w:szCs w:val="20"/>
        </w:rPr>
        <w:t>cuestión</w:t>
      </w:r>
      <w:proofErr w:type="spellEnd"/>
      <w:r w:rsidR="00BE74D2" w:rsidRPr="00BE74D2">
        <w:rPr>
          <w:rFonts w:ascii="Arial" w:eastAsia="Arial" w:hAnsi="Arial" w:cs="Arial"/>
          <w:sz w:val="20"/>
          <w:szCs w:val="20"/>
        </w:rPr>
        <w:t xml:space="preserve">. </w:t>
      </w:r>
    </w:p>
    <w:p w14:paraId="5D4FD85A" w14:textId="619A44A0" w:rsidR="00BE74D2" w:rsidRPr="00BE74D2" w:rsidRDefault="00BE74D2" w:rsidP="00BE74D2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Sólo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podrán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eximirse alumnos que, habiendo rendido todas sus evaluaciones (incluyendo solemnes, tareas, trabajos, controles, y laboratorios/proyectos) obtengan una nota final mayor o igual a 5.0. </w:t>
      </w:r>
    </w:p>
    <w:p w14:paraId="0CAE615F" w14:textId="6CC47F06" w:rsidR="009903B5" w:rsidRDefault="00BE74D2" w:rsidP="00BE74D2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Pr="00BE74D2">
        <w:rPr>
          <w:rFonts w:ascii="Arial" w:eastAsia="Arial" w:hAnsi="Arial" w:cs="Arial"/>
          <w:sz w:val="20"/>
          <w:szCs w:val="20"/>
        </w:rPr>
        <w:t xml:space="preserve">La nota final de la asignatura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correspondera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́ a 0.7·NPres + 0.3·NExamen, donde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NPres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corresponde a la nota de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presentación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y </w:t>
      </w:r>
      <w:proofErr w:type="spellStart"/>
      <w:r w:rsidRPr="00BE74D2">
        <w:rPr>
          <w:rFonts w:ascii="Arial" w:eastAsia="Arial" w:hAnsi="Arial" w:cs="Arial"/>
          <w:sz w:val="20"/>
          <w:szCs w:val="20"/>
        </w:rPr>
        <w:t>NExamen</w:t>
      </w:r>
      <w:proofErr w:type="spellEnd"/>
      <w:r w:rsidRPr="00BE74D2">
        <w:rPr>
          <w:rFonts w:ascii="Arial" w:eastAsia="Arial" w:hAnsi="Arial" w:cs="Arial"/>
          <w:sz w:val="20"/>
          <w:szCs w:val="20"/>
        </w:rPr>
        <w:t xml:space="preserve"> corresponde a la nota del examen final.</w:t>
      </w:r>
    </w:p>
    <w:p w14:paraId="36657CCC" w14:textId="77777777" w:rsidR="00BE74D2" w:rsidRDefault="00BE74D2" w:rsidP="00BE74D2">
      <w:pPr>
        <w:tabs>
          <w:tab w:val="left" w:pos="566"/>
        </w:tabs>
        <w:spacing w:before="56"/>
        <w:ind w:left="566"/>
        <w:jc w:val="both"/>
        <w:rPr>
          <w:rFonts w:ascii="Arial" w:eastAsia="Arial" w:hAnsi="Arial" w:cs="Arial"/>
          <w:i/>
          <w:sz w:val="20"/>
          <w:szCs w:val="20"/>
        </w:rPr>
      </w:pPr>
    </w:p>
    <w:p w14:paraId="0D2533DC" w14:textId="77777777" w:rsidR="00AD3973" w:rsidRDefault="004439BD">
      <w:pPr>
        <w:pBdr>
          <w:top w:val="nil"/>
          <w:left w:val="nil"/>
          <w:bottom w:val="nil"/>
          <w:right w:val="nil"/>
          <w:between w:val="nil"/>
        </w:pBdr>
        <w:tabs>
          <w:tab w:val="left" w:pos="566"/>
        </w:tabs>
        <w:spacing w:before="56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7. </w:t>
      </w:r>
      <w:r>
        <w:rPr>
          <w:rFonts w:ascii="Arial" w:eastAsia="Arial" w:hAnsi="Arial" w:cs="Arial"/>
          <w:b/>
          <w:color w:val="000000"/>
          <w:sz w:val="20"/>
          <w:szCs w:val="20"/>
        </w:rPr>
        <w:t>Bibliografía Básica Obligatoria:</w:t>
      </w:r>
    </w:p>
    <w:p w14:paraId="6743480D" w14:textId="77777777" w:rsidR="00AD3973" w:rsidRDefault="00AD3973">
      <w:pPr>
        <w:ind w:right="46"/>
        <w:jc w:val="both"/>
        <w:rPr>
          <w:rFonts w:ascii="Arial" w:eastAsia="Arial" w:hAnsi="Arial" w:cs="Arial"/>
          <w:i/>
          <w:sz w:val="20"/>
          <w:szCs w:val="20"/>
        </w:rPr>
      </w:pPr>
    </w:p>
    <w:p w14:paraId="76E8ABE4" w14:textId="77777777" w:rsidR="00BE74D2" w:rsidRPr="00BE74D2" w:rsidRDefault="00BE74D2" w:rsidP="00BE74D2">
      <w:pPr>
        <w:pStyle w:val="ListParagraph"/>
        <w:numPr>
          <w:ilvl w:val="0"/>
          <w:numId w:val="12"/>
        </w:numPr>
        <w:rPr>
          <w:lang w:val="es-AR"/>
        </w:rPr>
      </w:pPr>
      <w:proofErr w:type="spellStart"/>
      <w:r w:rsidRPr="00BE74D2">
        <w:rPr>
          <w:lang w:val="es-AR"/>
        </w:rPr>
        <w:t>Papers</w:t>
      </w:r>
      <w:proofErr w:type="spellEnd"/>
      <w:r w:rsidRPr="00BE74D2">
        <w:rPr>
          <w:lang w:val="es-AR"/>
        </w:rPr>
        <w:t xml:space="preserve"> y publicaciones científicas relacionadas con la temática disponibles en </w:t>
      </w:r>
      <w:proofErr w:type="spellStart"/>
      <w:r w:rsidRPr="00BE74D2">
        <w:rPr>
          <w:lang w:val="es-AR"/>
        </w:rPr>
        <w:t>IEEEXplore</w:t>
      </w:r>
      <w:proofErr w:type="spellEnd"/>
      <w:r w:rsidRPr="00BE74D2">
        <w:rPr>
          <w:lang w:val="es-AR"/>
        </w:rPr>
        <w:t>, ACM, entre otros catálogos.</w:t>
      </w:r>
    </w:p>
    <w:p w14:paraId="140853E0" w14:textId="1E86669C" w:rsidR="008E49F9" w:rsidRDefault="008E49F9">
      <w:pPr>
        <w:autoSpaceDE/>
        <w:autoSpaceDN/>
      </w:pPr>
      <w:r>
        <w:br w:type="page"/>
      </w:r>
    </w:p>
    <w:p w14:paraId="251B24EC" w14:textId="77777777" w:rsidR="008E49F9" w:rsidRDefault="008E49F9" w:rsidP="008E49F9">
      <w:pPr>
        <w:pStyle w:val="ListParagraph"/>
        <w:tabs>
          <w:tab w:val="left" w:pos="621"/>
        </w:tabs>
        <w:suppressAutoHyphens/>
        <w:autoSpaceDE/>
        <w:autoSpaceDN/>
        <w:ind w:left="-94" w:right="618"/>
        <w:contextualSpacing w:val="0"/>
      </w:pPr>
    </w:p>
    <w:p w14:paraId="35FEEBBF" w14:textId="752BD1AD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 xml:space="preserve">PAUTAS </w:t>
      </w:r>
      <w:r>
        <w:rPr>
          <w:rFonts w:ascii="Arial" w:eastAsia="Arial" w:hAnsi="Arial" w:cs="Arial"/>
          <w:sz w:val="20"/>
          <w:szCs w:val="20"/>
        </w:rPr>
        <w:t>É</w:t>
      </w:r>
      <w:r w:rsidRPr="004439BD">
        <w:rPr>
          <w:rFonts w:ascii="Arial" w:eastAsia="Arial" w:hAnsi="Arial" w:cs="Arial"/>
          <w:sz w:val="20"/>
          <w:szCs w:val="20"/>
        </w:rPr>
        <w:t>TICAS BASICAS</w:t>
      </w:r>
    </w:p>
    <w:p w14:paraId="0FA6C07A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</w:p>
    <w:p w14:paraId="0B32C3BE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aula es un espacio donde los intercambios buscan generar un clima que potencie el aprendizaje, basado en el respeto y el buen trato. Las diferencias, tanto entre estudiantes, como entre estudiante y docentes, deben abordarse desde este marco de respeto.</w:t>
      </w:r>
    </w:p>
    <w:p w14:paraId="358C0513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La universidad cuenta con dos reglamentos importantes de conocer:</w:t>
      </w:r>
    </w:p>
    <w:p w14:paraId="57AB7474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•</w:t>
      </w:r>
      <w:r w:rsidRPr="004439BD">
        <w:rPr>
          <w:rFonts w:ascii="Arial" w:eastAsia="Arial" w:hAnsi="Arial" w:cs="Arial"/>
          <w:sz w:val="20"/>
          <w:szCs w:val="20"/>
        </w:rPr>
        <w:tab/>
        <w:t>Reglamento de Convivencia</w:t>
      </w:r>
    </w:p>
    <w:p w14:paraId="679F7C13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•</w:t>
      </w:r>
      <w:r w:rsidRPr="004439BD">
        <w:rPr>
          <w:rFonts w:ascii="Arial" w:eastAsia="Arial" w:hAnsi="Arial" w:cs="Arial"/>
          <w:sz w:val="20"/>
          <w:szCs w:val="20"/>
        </w:rPr>
        <w:tab/>
        <w:t>Normativa de Prevención y Sanción de Acciones de Discriminación, Violencia Sexual y/o de Género.</w:t>
      </w:r>
    </w:p>
    <w:p w14:paraId="6C67E15B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Puedes consultar los reglamentos aquí: https://www.udp.cl/universidad/reglamentos-y-politicas/</w:t>
      </w:r>
    </w:p>
    <w:p w14:paraId="683D54F2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plagio es el uso de las ideas o trabajo de otra persona sin el adecuado consentimiento. El plagio puede ser intencional o no. El plagio intencional es el claro intento de hacer pasar el trabajo o ideas ajenas como el suyo propio para su beneficio. El plagio no intencional puede ocurrir si Ud. no conoce el mecanismo adecuado de referenciar la fuente de sus ideas e información. Si no está seguro de los métodos aceptados para referenciar, debería consultar con su profesor, tutor o personal de biblioteca.</w:t>
      </w:r>
    </w:p>
    <w:p w14:paraId="13F0AF8B" w14:textId="77777777" w:rsidR="004439BD" w:rsidRP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</w:p>
    <w:p w14:paraId="7C6F45D0" w14:textId="138B22FE" w:rsidR="004439BD" w:rsidRDefault="004439BD" w:rsidP="004439BD">
      <w:pPr>
        <w:jc w:val="both"/>
        <w:rPr>
          <w:rFonts w:ascii="Arial" w:eastAsia="Arial" w:hAnsi="Arial" w:cs="Arial"/>
          <w:sz w:val="20"/>
          <w:szCs w:val="20"/>
        </w:rPr>
      </w:pPr>
      <w:r w:rsidRPr="004439BD">
        <w:rPr>
          <w:rFonts w:ascii="Arial" w:eastAsia="Arial" w:hAnsi="Arial" w:cs="Arial"/>
          <w:sz w:val="20"/>
          <w:szCs w:val="20"/>
        </w:rPr>
        <w:t>El plagio comprobado es una actitud que puede resultar en severas sanciones disciplinarias y/o en la exclusión de la Universidad (Artículo 44, Reglamento del Estudiante de Pregrado).</w:t>
      </w:r>
    </w:p>
    <w:p w14:paraId="5CA6BFCB" w14:textId="77777777" w:rsidR="004439BD" w:rsidRDefault="004439BD" w:rsidP="004439BD">
      <w:pPr>
        <w:rPr>
          <w:rFonts w:ascii="Arial" w:eastAsia="Arial" w:hAnsi="Arial" w:cs="Arial"/>
          <w:sz w:val="20"/>
          <w:szCs w:val="20"/>
        </w:rPr>
      </w:pPr>
    </w:p>
    <w:p w14:paraId="02DBBE4B" w14:textId="77777777" w:rsidR="00BE74D2" w:rsidRPr="00BE74D2" w:rsidRDefault="00BE74D2" w:rsidP="00BE74D2">
      <w:pPr>
        <w:rPr>
          <w:rFonts w:ascii="Arial" w:eastAsia="Arial" w:hAnsi="Arial" w:cs="Arial"/>
          <w:sz w:val="20"/>
          <w:szCs w:val="20"/>
        </w:rPr>
      </w:pPr>
      <w:r w:rsidRPr="00BE74D2">
        <w:rPr>
          <w:rFonts w:ascii="Arial" w:eastAsia="Arial" w:hAnsi="Arial" w:cs="Arial"/>
          <w:sz w:val="20"/>
          <w:szCs w:val="20"/>
        </w:rPr>
        <w:t>Elaborado por: Diego Dujovne</w:t>
      </w:r>
    </w:p>
    <w:p w14:paraId="431FEE1B" w14:textId="77777777" w:rsidR="00BE74D2" w:rsidRPr="00BE74D2" w:rsidRDefault="00BE74D2" w:rsidP="00BE74D2">
      <w:pPr>
        <w:rPr>
          <w:rFonts w:ascii="Arial" w:eastAsia="Arial" w:hAnsi="Arial" w:cs="Arial"/>
          <w:sz w:val="20"/>
          <w:szCs w:val="20"/>
        </w:rPr>
      </w:pPr>
      <w:r w:rsidRPr="00BE74D2">
        <w:rPr>
          <w:rFonts w:ascii="Arial" w:eastAsia="Arial" w:hAnsi="Arial" w:cs="Arial"/>
          <w:sz w:val="20"/>
          <w:szCs w:val="20"/>
        </w:rPr>
        <w:t>Revisado por: Rodrigo Caballero y Jorge Elliott</w:t>
      </w:r>
    </w:p>
    <w:p w14:paraId="3AFE57C1" w14:textId="77777777" w:rsidR="00BE74D2" w:rsidRPr="00BE74D2" w:rsidRDefault="00BE74D2" w:rsidP="00BE74D2">
      <w:pPr>
        <w:rPr>
          <w:rFonts w:ascii="Arial" w:eastAsia="Arial" w:hAnsi="Arial" w:cs="Arial"/>
          <w:sz w:val="20"/>
          <w:szCs w:val="20"/>
        </w:rPr>
      </w:pPr>
      <w:r w:rsidRPr="00BE74D2">
        <w:rPr>
          <w:rFonts w:ascii="Arial" w:eastAsia="Arial" w:hAnsi="Arial" w:cs="Arial"/>
          <w:sz w:val="20"/>
          <w:szCs w:val="20"/>
        </w:rPr>
        <w:t xml:space="preserve">Fecha revisión: </w:t>
      </w:r>
      <w:proofErr w:type="gramStart"/>
      <w:r w:rsidRPr="00BE74D2">
        <w:rPr>
          <w:rFonts w:ascii="Arial" w:eastAsia="Arial" w:hAnsi="Arial" w:cs="Arial"/>
          <w:sz w:val="20"/>
          <w:szCs w:val="20"/>
        </w:rPr>
        <w:t>Mayo</w:t>
      </w:r>
      <w:proofErr w:type="gramEnd"/>
      <w:r w:rsidRPr="00BE74D2">
        <w:rPr>
          <w:rFonts w:ascii="Arial" w:eastAsia="Arial" w:hAnsi="Arial" w:cs="Arial"/>
          <w:sz w:val="20"/>
          <w:szCs w:val="20"/>
        </w:rPr>
        <w:t xml:space="preserve"> 2025</w:t>
      </w:r>
    </w:p>
    <w:p w14:paraId="596F36E0" w14:textId="4A795EB4" w:rsidR="00AD3973" w:rsidRDefault="00BE74D2" w:rsidP="00BE74D2">
      <w:pPr>
        <w:rPr>
          <w:rFonts w:ascii="Arial" w:eastAsia="Arial" w:hAnsi="Arial" w:cs="Arial"/>
          <w:sz w:val="20"/>
          <w:szCs w:val="20"/>
        </w:rPr>
      </w:pPr>
      <w:r w:rsidRPr="00BE74D2">
        <w:rPr>
          <w:rFonts w:ascii="Arial" w:eastAsia="Arial" w:hAnsi="Arial" w:cs="Arial"/>
          <w:sz w:val="20"/>
          <w:szCs w:val="20"/>
        </w:rPr>
        <w:t xml:space="preserve">Fecha vigencia: </w:t>
      </w:r>
      <w:proofErr w:type="gramStart"/>
      <w:r w:rsidRPr="00BE74D2">
        <w:rPr>
          <w:rFonts w:ascii="Arial" w:eastAsia="Arial" w:hAnsi="Arial" w:cs="Arial"/>
          <w:sz w:val="20"/>
          <w:szCs w:val="20"/>
        </w:rPr>
        <w:t>Marzo</w:t>
      </w:r>
      <w:proofErr w:type="gramEnd"/>
      <w:r w:rsidRPr="00BE74D2">
        <w:rPr>
          <w:rFonts w:ascii="Arial" w:eastAsia="Arial" w:hAnsi="Arial" w:cs="Arial"/>
          <w:sz w:val="20"/>
          <w:szCs w:val="20"/>
        </w:rPr>
        <w:t xml:space="preserve"> 2026</w:t>
      </w:r>
    </w:p>
    <w:sectPr w:rsidR="00AD397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auto"/>
    <w:pitch w:val="default"/>
  </w:font>
  <w:font w:name="Noto Sans Symbols">
    <w:charset w:val="00"/>
    <w:family w:val="auto"/>
    <w:pitch w:val="default"/>
    <w:embedRegular r:id="rId1" w:fontKey="{EFDB1D50-F5FC-40F8-A5B9-4346D6E2044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E438E30-5D74-49A5-85F6-3D5DE5BB646D}"/>
    <w:embedItalic r:id="rId3" w:fontKey="{90F70307-4773-4E4C-ADFF-EDE95E22759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47AD4BB-401B-478A-B0A2-4B3AA65E91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1796A"/>
    <w:multiLevelType w:val="hybridMultilevel"/>
    <w:tmpl w:val="A2BEC760"/>
    <w:lvl w:ilvl="0" w:tplc="040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" w15:restartNumberingAfterBreak="0">
    <w:nsid w:val="12B83ECF"/>
    <w:multiLevelType w:val="multilevel"/>
    <w:tmpl w:val="B50E49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2D3CBC"/>
    <w:multiLevelType w:val="multilevel"/>
    <w:tmpl w:val="7D1E6982"/>
    <w:lvl w:ilvl="0">
      <w:start w:val="1"/>
      <w:numFmt w:val="decimal"/>
      <w:lvlText w:val="%1."/>
      <w:lvlJc w:val="left"/>
      <w:pPr>
        <w:tabs>
          <w:tab w:val="num" w:pos="0"/>
        </w:tabs>
        <w:ind w:left="621" w:hanging="360"/>
      </w:pPr>
      <w:rPr>
        <w:rFonts w:eastAsia="Arial MT" w:cs="Arial MT"/>
        <w:b w:val="0"/>
        <w:bCs w:val="0"/>
        <w:i w:val="0"/>
        <w:iCs w:val="0"/>
        <w:spacing w:val="0"/>
        <w:w w:val="99"/>
        <w:sz w:val="22"/>
        <w:szCs w:val="22"/>
        <w:lang w:val="es-E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30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440" w:hanging="36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350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60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170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080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6990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7900" w:hanging="360"/>
      </w:pPr>
      <w:rPr>
        <w:rFonts w:ascii="Symbol" w:hAnsi="Symbol" w:cs="Symbol" w:hint="default"/>
      </w:rPr>
    </w:lvl>
  </w:abstractNum>
  <w:abstractNum w:abstractNumId="3" w15:restartNumberingAfterBreak="0">
    <w:nsid w:val="15C37EE1"/>
    <w:multiLevelType w:val="hybridMultilevel"/>
    <w:tmpl w:val="84DA3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76E27"/>
    <w:multiLevelType w:val="multilevel"/>
    <w:tmpl w:val="25045B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B297BB3"/>
    <w:multiLevelType w:val="multilevel"/>
    <w:tmpl w:val="9F9E12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9791AF0"/>
    <w:multiLevelType w:val="multilevel"/>
    <w:tmpl w:val="50845B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00D4737"/>
    <w:multiLevelType w:val="multilevel"/>
    <w:tmpl w:val="89C237D2"/>
    <w:lvl w:ilvl="0">
      <w:start w:val="1"/>
      <w:numFmt w:val="decimal"/>
      <w:lvlText w:val="%1."/>
      <w:lvlJc w:val="left"/>
      <w:pPr>
        <w:ind w:left="-94" w:hanging="360"/>
      </w:pPr>
    </w:lvl>
    <w:lvl w:ilvl="1">
      <w:start w:val="1"/>
      <w:numFmt w:val="decimal"/>
      <w:lvlText w:val="%2."/>
      <w:lvlJc w:val="left"/>
      <w:pPr>
        <w:ind w:left="266" w:hanging="360"/>
      </w:pPr>
    </w:lvl>
    <w:lvl w:ilvl="2">
      <w:start w:val="1"/>
      <w:numFmt w:val="decimal"/>
      <w:lvlText w:val="%3."/>
      <w:lvlJc w:val="left"/>
      <w:pPr>
        <w:ind w:left="626" w:hanging="360"/>
      </w:pPr>
    </w:lvl>
    <w:lvl w:ilvl="3">
      <w:start w:val="1"/>
      <w:numFmt w:val="decimal"/>
      <w:lvlText w:val="%4."/>
      <w:lvlJc w:val="left"/>
      <w:pPr>
        <w:ind w:left="986" w:hanging="360"/>
      </w:pPr>
    </w:lvl>
    <w:lvl w:ilvl="4">
      <w:start w:val="1"/>
      <w:numFmt w:val="decimal"/>
      <w:lvlText w:val="%5."/>
      <w:lvlJc w:val="left"/>
      <w:pPr>
        <w:ind w:left="1346" w:hanging="360"/>
      </w:pPr>
    </w:lvl>
    <w:lvl w:ilvl="5">
      <w:start w:val="1"/>
      <w:numFmt w:val="decimal"/>
      <w:lvlText w:val="%6."/>
      <w:lvlJc w:val="left"/>
      <w:pPr>
        <w:ind w:left="1706" w:hanging="360"/>
      </w:pPr>
    </w:lvl>
    <w:lvl w:ilvl="6">
      <w:start w:val="1"/>
      <w:numFmt w:val="decimal"/>
      <w:lvlText w:val="%7."/>
      <w:lvlJc w:val="left"/>
      <w:pPr>
        <w:ind w:left="2066" w:hanging="360"/>
      </w:pPr>
    </w:lvl>
    <w:lvl w:ilvl="7">
      <w:start w:val="1"/>
      <w:numFmt w:val="decimal"/>
      <w:lvlText w:val="%8."/>
      <w:lvlJc w:val="left"/>
      <w:pPr>
        <w:ind w:left="2426" w:hanging="360"/>
      </w:pPr>
    </w:lvl>
    <w:lvl w:ilvl="8">
      <w:start w:val="1"/>
      <w:numFmt w:val="decimal"/>
      <w:lvlText w:val="%9."/>
      <w:lvlJc w:val="left"/>
      <w:pPr>
        <w:ind w:left="2786" w:hanging="360"/>
      </w:pPr>
    </w:lvl>
  </w:abstractNum>
  <w:abstractNum w:abstractNumId="8" w15:restartNumberingAfterBreak="0">
    <w:nsid w:val="556844D8"/>
    <w:multiLevelType w:val="multilevel"/>
    <w:tmpl w:val="89669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D9755B"/>
    <w:multiLevelType w:val="hybridMultilevel"/>
    <w:tmpl w:val="03AE78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E57139"/>
    <w:multiLevelType w:val="hybridMultilevel"/>
    <w:tmpl w:val="E214D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8C0774"/>
    <w:multiLevelType w:val="hybridMultilevel"/>
    <w:tmpl w:val="1D023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70165"/>
    <w:multiLevelType w:val="multilevel"/>
    <w:tmpl w:val="57FCF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82796164">
    <w:abstractNumId w:val="6"/>
  </w:num>
  <w:num w:numId="2" w16cid:durableId="748231194">
    <w:abstractNumId w:val="12"/>
  </w:num>
  <w:num w:numId="3" w16cid:durableId="555701067">
    <w:abstractNumId w:val="8"/>
  </w:num>
  <w:num w:numId="4" w16cid:durableId="1333987896">
    <w:abstractNumId w:val="7"/>
  </w:num>
  <w:num w:numId="5" w16cid:durableId="316960980">
    <w:abstractNumId w:val="5"/>
  </w:num>
  <w:num w:numId="6" w16cid:durableId="391461644">
    <w:abstractNumId w:val="4"/>
  </w:num>
  <w:num w:numId="7" w16cid:durableId="925502751">
    <w:abstractNumId w:val="1"/>
  </w:num>
  <w:num w:numId="8" w16cid:durableId="1182820238">
    <w:abstractNumId w:val="0"/>
  </w:num>
  <w:num w:numId="9" w16cid:durableId="531917828">
    <w:abstractNumId w:val="2"/>
  </w:num>
  <w:num w:numId="10" w16cid:durableId="1530989059">
    <w:abstractNumId w:val="9"/>
  </w:num>
  <w:num w:numId="11" w16cid:durableId="2139756157">
    <w:abstractNumId w:val="11"/>
  </w:num>
  <w:num w:numId="12" w16cid:durableId="594023006">
    <w:abstractNumId w:val="10"/>
  </w:num>
  <w:num w:numId="13" w16cid:durableId="799806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973"/>
    <w:rsid w:val="00035B22"/>
    <w:rsid w:val="00123BEF"/>
    <w:rsid w:val="004439BD"/>
    <w:rsid w:val="005C4EA9"/>
    <w:rsid w:val="008E49F9"/>
    <w:rsid w:val="009903B5"/>
    <w:rsid w:val="00AD3973"/>
    <w:rsid w:val="00BE74D2"/>
    <w:rsid w:val="00DA5CD6"/>
    <w:rsid w:val="00FE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7AF89"/>
  <w15:docId w15:val="{9947C88D-2F18-448E-9EF3-7FB73DEE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75A"/>
    <w:pPr>
      <w:autoSpaceDE w:val="0"/>
      <w:autoSpaceDN w:val="0"/>
    </w:pPr>
    <w:rPr>
      <w:lang w:eastAsia="es-ES" w:bidi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7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7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7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77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7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7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7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7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7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77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F77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7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7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7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7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7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7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75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F7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7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7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75A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1"/>
    <w:qFormat/>
    <w:rsid w:val="004F77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7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7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7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75A"/>
    <w:rPr>
      <w:b/>
      <w:bCs/>
      <w:smallCaps/>
      <w:color w:val="2F5496" w:themeColor="accent1" w:themeShade="BF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F775A"/>
  </w:style>
  <w:style w:type="character" w:styleId="Strong">
    <w:name w:val="Strong"/>
    <w:basedOn w:val="DefaultParagraphFont"/>
    <w:uiPriority w:val="22"/>
    <w:qFormat/>
    <w:rsid w:val="004F77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775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775A"/>
    <w:rPr>
      <w:i/>
      <w:iCs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2H+vUYwhbsat9w1HQ9mDpMWd4A==">CgMxLjAaJAoBMBIfCh0IB0IZCgVBcmlhbBIQQXJpYWwgVW5pY29kZSBNUzINaC5sY21tbGV6MGQzNzgAciExNHhKV3hudEZZa01Mb2pJa3ZFWXA2WkR4X3g0OURBNms=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Frez Zachary</dc:creator>
  <cp:lastModifiedBy>neurus2610 neurus2610</cp:lastModifiedBy>
  <cp:revision>5</cp:revision>
  <dcterms:created xsi:type="dcterms:W3CDTF">2025-03-23T21:07:00Z</dcterms:created>
  <dcterms:modified xsi:type="dcterms:W3CDTF">2025-05-09T22:01:00Z</dcterms:modified>
</cp:coreProperties>
</file>