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7" w:lineRule="auto"/>
        <w:ind w:left="2258" w:right="2156" w:firstLine="661.9999999999999"/>
        <w:rPr>
          <w:b w:val="1"/>
          <w:i w:val="1"/>
        </w:rPr>
      </w:pPr>
      <w:r w:rsidDel="00000000" w:rsidR="00000000" w:rsidRPr="00000000">
        <w:rPr>
          <w:b w:val="1"/>
          <w:i w:val="1"/>
          <w:color w:val="000009"/>
          <w:rtl w:val="0"/>
        </w:rPr>
        <w:t xml:space="preserve">Facultad de Ingeniería y Ciencias Escuela de Informática y 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252" w:lineRule="auto"/>
        <w:ind w:left="0" w:right="45" w:firstLine="0"/>
        <w:jc w:val="center"/>
        <w:rPr/>
      </w:pPr>
      <w:r w:rsidDel="00000000" w:rsidR="00000000" w:rsidRPr="00000000">
        <w:rPr>
          <w:color w:val="000009"/>
          <w:rtl w:val="0"/>
        </w:rPr>
        <w:t xml:space="preserve">PROGRAMA DE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Rule="auto"/>
        <w:ind w:left="3" w:right="45" w:firstLine="0"/>
        <w:jc w:val="center"/>
        <w:rPr>
          <w:i w:val="1"/>
        </w:rPr>
      </w:pPr>
      <w:r w:rsidDel="00000000" w:rsidR="00000000" w:rsidRPr="00000000">
        <w:rPr>
          <w:i w:val="1"/>
          <w:color w:val="000009"/>
          <w:rtl w:val="0"/>
        </w:rPr>
        <w:t xml:space="preserve">Criptografía y seguridad en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tabs>
          <w:tab w:val="left" w:leader="none" w:pos="826"/>
        </w:tabs>
        <w:ind w:left="826" w:hanging="426"/>
        <w:rPr/>
      </w:pPr>
      <w:r w:rsidDel="00000000" w:rsidR="00000000" w:rsidRPr="00000000">
        <w:rPr>
          <w:rtl w:val="0"/>
        </w:rPr>
        <w:t xml:space="preserve">Identificación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4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3"/>
        <w:gridCol w:w="4331"/>
        <w:tblGridChange w:id="0">
          <w:tblGrid>
            <w:gridCol w:w="4333"/>
            <w:gridCol w:w="4331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Nombre de la Asignatura: Criptografía y Seguridad en redes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Códigos: </w:t>
            </w:r>
            <w:r w:rsidDel="00000000" w:rsidR="00000000" w:rsidRPr="00000000">
              <w:rPr>
                <w:color w:val="000009"/>
                <w:sz w:val="17"/>
                <w:szCs w:val="17"/>
                <w:rtl w:val="0"/>
              </w:rPr>
              <w:t xml:space="preserve">CIT-2413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Créditos: 6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Duración: Semestral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Ubicación en el plan de estudios: Semestre 8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Requisitos: CIT-2408 Taller de redes y servicios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Sesiones cátedras semanales: 2 cátedras, 1 laboratorio</w:t>
            </w:r>
          </w:p>
          <w:p w:rsidR="00000000" w:rsidDel="00000000" w:rsidP="00000000" w:rsidRDefault="00000000" w:rsidRPr="00000000" w14:paraId="00000010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tabs>
          <w:tab w:val="left" w:leader="none" w:pos="826"/>
        </w:tabs>
        <w:ind w:left="826" w:hanging="426"/>
        <w:rPr/>
      </w:pPr>
      <w:r w:rsidDel="00000000" w:rsidR="00000000" w:rsidRPr="00000000">
        <w:rPr>
          <w:rtl w:val="0"/>
        </w:rPr>
        <w:t xml:space="preserve">Descripción del curso</w:t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82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 esencial el poder identificar eventuales fallas de seguridad existentes en los sistemas informáticos o en las redes de datos empresariales, considerando tanto aspectos técnicos como los marcos legales y regulatorios de seguridad de la información. Así también, se debe poder proveer soluciones tecnológicamente factibles y eficientes para asegurar la confidencialidad de la información, la invulnerabilidad de las redes.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contexto, este curso entrega las herramientas necesarias para desarrollar de manera apropiada estas tareas, integrando no solo estrategias técnicas y metodologías de seguridad, sino también el conocimiento y aplicación de normativas y regulaciones que rigen la protección de la información y la seguridad informática esperado por la industria.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tabs>
          <w:tab w:val="left" w:leader="none" w:pos="824"/>
        </w:tabs>
        <w:ind w:left="824" w:hanging="424"/>
        <w:rPr/>
      </w:pPr>
      <w:r w:rsidDel="00000000" w:rsidR="00000000" w:rsidRPr="00000000">
        <w:rPr>
          <w:rtl w:val="0"/>
        </w:rPr>
        <w:t xml:space="preserve">Resultados de aprendizaje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finalizar el curso el/la estudiante será capaz de: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medidas de protección y seguridad de la información en medios electrónicos de intercambio de información, para aplicarlos en servicios tales como páginas web, evaluando su performance.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Evaluar el desempeño y limitantes de protocolos, esquemas de seguridad, métodos de autenticación y gestión de claves en sistemas informáticos y redes de datos, para diseñar sistemas integrales de seguridad de datos.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técnicas criptográficas adecuadas en criptosistemas de clave pública, criptosistemas de clave privada y cifradores de flujo, para así estimar métricas comparadas de funcionamiento en términos de robustez y uso de recursos.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métodos y algoritmos criptográficos clásicos y modernos, para evaluar la performance comparada mediante mediciones o simulación grupal de sistemas de encriptación de datos, documentando así el desempeño de los algoritmos bajo análisis.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Aplicar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normativos de seguridad de la información, que permitan cumplir las expectativas regulatorias y de desempeño esperado por la industria.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tabs>
          <w:tab w:val="left" w:leader="none" w:pos="825"/>
        </w:tabs>
        <w:ind w:left="825" w:hanging="424"/>
        <w:rPr/>
      </w:pPr>
      <w:r w:rsidDel="00000000" w:rsidR="00000000" w:rsidRPr="00000000">
        <w:rPr>
          <w:rtl w:val="0"/>
        </w:rPr>
        <w:t xml:space="preserve">Unidades Temáticas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720" w:right="2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Introducción: Conceptos fundamentales, confidencialidad, integridad y disponibilidad de la información, amenazas y métodos de defensa, terminología, componentes y tipos de criptosistemas, NIST e ISO/IEC 27001.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720" w:right="2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Criptografía clásica: Introducción a los criptosistemas clásicos, métodos de cifra monográmica por sustitución, métodos de cifra monográmica por transposición, métodos de cifra poligrámica.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720" w:right="2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Criptosistemas de clave privada: Generalidades sobre sistema de clave secreta, algoritmos de Encriptación Simétrica (DES, 3DES, AES), otros cifrados de bloque y flujo. Modos de encriptación (ECB, CBC, CFB, CTR, GCM).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720" w:right="2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Criptosistemas de clave pública: Introducción a la cifra con clave pública, protocolo de Diffie y Hellman para el intercambio de claves, cifrador de mochila de Merkle- Hellman, cifrado exponencial RSA, curvas elípticas. Introducción a algoritmos post-cuánticos.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720" w:right="2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Funciones de autenticación: El problema de la integridad y autenticación, autenticación de mensajes con sistemas simétricos y asimétricos, firma digital con algoritmos RSA y EC, funciones hash SHA, RIPEMD-160, Bcrypt. ISO/IEC 10118-3.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720" w:right="2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Seguridad en redes: El programa PGP (Pretty Good Privacy), autenticidad de correos electrónicos, certificación y entidades certificadoras, TLS y DTLS.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720" w:right="2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Protocolos criptográficos: Implementación de protocolos seguros en servicios y análisis de protocolos criptográficos a partir del tráfico de red.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720" w:right="2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Brechas de Seguridad: Se presentarán configuraciones vulnerables relacionadas a implementaciones de servicios web, y sus contramedidas. Asimismo, se introducirán ataques informáticos relacionados a brechas en sistemas de cifrado de llave simétrica y asimétrica, como también en sistemas de autenticación.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720" w:right="2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Aspectos legales de seguridad de la información: Regulaciones y normativas aplicables en ciberseguridad y protección de datos, incluyendo la Ley 21.663 Marco de Ciberseguridad, la Ley 21.459 de delitos informáticos, la Ley 21.719 de Protección y Tratamiento de Datos Personales, y la Ley 19799 de Firma Electrónica en Chile.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761" w:right="2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55" w:line="240" w:lineRule="auto"/>
        <w:ind w:left="826" w:right="0" w:hanging="425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 del método de enseñanza: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contemplan clases, combinando –a lo largo del semestre- 2 sesiones de carácter expositivo (basadas en presentaciones electrónicas, con apoyo adicional de pizarrón, y/o contenido audiovisual) con 1 sesión de trabajo en laboratorio donde se realizarán talleres interactivos. Esto será complementado con lectura de textos y material adicional, para la realización de tareas, laboratorios o trabajos de investigación, permitiendo desarrollar habilidades relacionadas con el autoaprendizaje continuo.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realizará un mínimo de 5 laboratorios, talleres interactivos o defensa de casos.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fomentará la evaluación del conocimiento adquirido, el nivel de comprensión, la capacidad de análisis, síntesis, y aplicación. Esto será medido a través de trabajos periódicos, evaluaciones al finalizar cada campo de conocimiento más dos pruebas solemnes, junto a un examen final escrito en la hora y día que establezca la Dirección de la Escuela.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fomentará también el desarrollo de habilidades relacionadas con la expresión oral y escrita, así como de trabajo grupal y procesamiento de datos medidos, a partir de la realización de presentaciones orales, prácticas de laboratorio (con sus respectivos informes) . Esto se evaluará mediante presentaciones orales y en la evaluación de informes escritos (laboratorios, tareas, trabajos).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826" w:right="0" w:hanging="4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 de la modalidad de evaluación: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8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realizarán prácticos de laboratorio, evaluaciones de campo de conocimiento, dos pruebas solemnes y un examen final.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experiencias de laboratorio serán evaluadas mediante informes. Para aprobar la asignatura se debe haber aprobado las experiencias de laboratorio (nota promedio igual o superior a 4.0), donde la asistencia al 100% de las experiencias es una condición necesaria, pero no suficiente. En caso contrario, reprobará la asignatura con nota final igual al promedio de sus experiencias de laboratorio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de Presentación = (25% Solemne 1 + 25% Solemne 2 + 20% Notas Parciales + 30% laboratorios)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Final= 70% Nota de Presentación + 30% Examen.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Podrá eximirse el/la estudiante cuya nota de presentación sea igual o superior a 5.0, que haya rendido todas sus evaluaciones de acuerdo al item “nota de presentación” definido más arriba.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tabs>
          <w:tab w:val="left" w:leader="none" w:pos="824"/>
        </w:tabs>
        <w:ind w:left="824" w:hanging="423"/>
        <w:rPr/>
      </w:pPr>
      <w:r w:rsidDel="00000000" w:rsidR="00000000" w:rsidRPr="00000000">
        <w:rPr>
          <w:rtl w:val="0"/>
        </w:rPr>
        <w:t xml:space="preserve">Bibliografía Básica Obligatoria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"/>
        </w:tabs>
        <w:spacing w:after="0" w:before="0" w:line="240" w:lineRule="auto"/>
        <w:ind w:left="621" w:right="26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Bruce Schneier; Applied Cryptography: Protocols, Algorithms, and Source Code in C. 2nd Edition, John Wiley &amp; Sons, 2015.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"/>
        </w:tabs>
        <w:spacing w:after="0" w:before="1" w:line="240" w:lineRule="auto"/>
        <w:ind w:left="621" w:right="25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Cristof Paar, Jan Pelzl; Understanding Cryptography: A Textbook for Students and Practitioners,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Ed., Springer, 2010.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"/>
        </w:tabs>
        <w:spacing w:after="0" w:before="0" w:line="240" w:lineRule="auto"/>
        <w:ind w:left="621" w:right="26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Delfs, Helmut Knebl; Introduction to Cryptography: Principles and Applications (Information Security and Cryptography),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Ed., Springer, 2015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5794375" cy="283019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3575" y="2369665"/>
                          <a:ext cx="5784850" cy="28206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" w:line="240"/>
                              <w:ind w:left="143.00000190734863" w:right="0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PAUTAS ETICAS BASICAS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3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00000190734863" w:right="145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aula es un espacio donde los intercambios buscan generar un clima que potencie el aprendizaje, basado en el respeto y el buen trato. Las diferencias, tanto entre estudiantes, como entre estudiante y docentes, deben abordarse desde este marco de respeto.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00000190734863" w:right="0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La universidad cuenta con dos reglamentos importantes de conocer: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3.00000190734863" w:line="328.99998664855957"/>
                              <w:ind w:left="863.0000305175781" w:right="0" w:firstLine="50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Reglamento de Convivencia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8.99998664855957"/>
                              <w:ind w:left="863.0000305175781" w:right="0" w:firstLine="50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Normativa de Prevención y Sanción de Acciones de Discriminación, Violencia Sexual y/o de Género.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00000190734863" w:right="0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Puedes consultar los reglamentos aquí: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16"/>
                                <w:u w:val="single"/>
                                <w:vertAlign w:val="baseline"/>
                              </w:rPr>
                              <w:t xml:space="preserve">https://www.udp.cl/universidad/reglamentos-y-politicas/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8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00000190734863" w:right="141.99999809265137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1.99999809265137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00000190734863" w:right="0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plagio comprobado es una actitud que puede resultar en severas sanciones disciplinarias y/o en la exclusión de la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5794375" cy="283019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4375" cy="2830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Elaborado por: Nicolás Boettcher.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Revisado por: Diego Dujovne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45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Fecha revisión: Marzo de 2025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45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Fecha vigencia: Marzo de 2025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3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21" w:hanging="360"/>
      </w:pPr>
      <w:rPr/>
    </w:lvl>
    <w:lvl w:ilvl="1">
      <w:start w:val="0"/>
      <w:numFmt w:val="bullet"/>
      <w:lvlText w:val="•"/>
      <w:lvlJc w:val="left"/>
      <w:pPr>
        <w:ind w:left="1494" w:hanging="360"/>
      </w:pPr>
      <w:rPr/>
    </w:lvl>
    <w:lvl w:ilvl="2">
      <w:start w:val="0"/>
      <w:numFmt w:val="bullet"/>
      <w:lvlText w:val="•"/>
      <w:lvlJc w:val="left"/>
      <w:pPr>
        <w:ind w:left="2368" w:hanging="360"/>
      </w:pPr>
      <w:rPr/>
    </w:lvl>
    <w:lvl w:ilvl="3">
      <w:start w:val="0"/>
      <w:numFmt w:val="bullet"/>
      <w:lvlText w:val="•"/>
      <w:lvlJc w:val="left"/>
      <w:pPr>
        <w:ind w:left="3242" w:hanging="360"/>
      </w:pPr>
      <w:rPr/>
    </w:lvl>
    <w:lvl w:ilvl="4">
      <w:start w:val="0"/>
      <w:numFmt w:val="bullet"/>
      <w:lvlText w:val="•"/>
      <w:lvlJc w:val="left"/>
      <w:pPr>
        <w:ind w:left="4116" w:hanging="360"/>
      </w:pPr>
      <w:rPr/>
    </w:lvl>
    <w:lvl w:ilvl="5">
      <w:start w:val="0"/>
      <w:numFmt w:val="bullet"/>
      <w:lvlText w:val="•"/>
      <w:lvlJc w:val="left"/>
      <w:pPr>
        <w:ind w:left="4990" w:hanging="360"/>
      </w:pPr>
      <w:rPr/>
    </w:lvl>
    <w:lvl w:ilvl="6">
      <w:start w:val="0"/>
      <w:numFmt w:val="bullet"/>
      <w:lvlText w:val="•"/>
      <w:lvlJc w:val="left"/>
      <w:pPr>
        <w:ind w:left="5864" w:hanging="360"/>
      </w:pPr>
      <w:rPr/>
    </w:lvl>
    <w:lvl w:ilvl="7">
      <w:start w:val="0"/>
      <w:numFmt w:val="bullet"/>
      <w:lvlText w:val="•"/>
      <w:lvlJc w:val="left"/>
      <w:pPr>
        <w:ind w:left="6738" w:hanging="360"/>
      </w:pPr>
      <w:rPr/>
    </w:lvl>
    <w:lvl w:ilvl="8">
      <w:start w:val="0"/>
      <w:numFmt w:val="bullet"/>
      <w:lvlText w:val="•"/>
      <w:lvlJc w:val="left"/>
      <w:pPr>
        <w:ind w:left="7612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826" w:hanging="427.0000000000001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109" w:hanging="347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017" w:hanging="347"/>
      </w:pPr>
      <w:rPr/>
    </w:lvl>
    <w:lvl w:ilvl="3">
      <w:start w:val="0"/>
      <w:numFmt w:val="bullet"/>
      <w:lvlText w:val="•"/>
      <w:lvlJc w:val="left"/>
      <w:pPr>
        <w:ind w:left="2935" w:hanging="347"/>
      </w:pPr>
      <w:rPr/>
    </w:lvl>
    <w:lvl w:ilvl="4">
      <w:start w:val="0"/>
      <w:numFmt w:val="bullet"/>
      <w:lvlText w:val="•"/>
      <w:lvlJc w:val="left"/>
      <w:pPr>
        <w:ind w:left="3853" w:hanging="347"/>
      </w:pPr>
      <w:rPr/>
    </w:lvl>
    <w:lvl w:ilvl="5">
      <w:start w:val="0"/>
      <w:numFmt w:val="bullet"/>
      <w:lvlText w:val="•"/>
      <w:lvlJc w:val="left"/>
      <w:pPr>
        <w:ind w:left="4771" w:hanging="347"/>
      </w:pPr>
      <w:rPr/>
    </w:lvl>
    <w:lvl w:ilvl="6">
      <w:start w:val="0"/>
      <w:numFmt w:val="bullet"/>
      <w:lvlText w:val="•"/>
      <w:lvlJc w:val="left"/>
      <w:pPr>
        <w:ind w:left="5688" w:hanging="347.0000000000009"/>
      </w:pPr>
      <w:rPr/>
    </w:lvl>
    <w:lvl w:ilvl="7">
      <w:start w:val="0"/>
      <w:numFmt w:val="bullet"/>
      <w:lvlText w:val="•"/>
      <w:lvlJc w:val="left"/>
      <w:pPr>
        <w:ind w:left="6606" w:hanging="347"/>
      </w:pPr>
      <w:rPr/>
    </w:lvl>
    <w:lvl w:ilvl="8">
      <w:start w:val="0"/>
      <w:numFmt w:val="bullet"/>
      <w:lvlText w:val="•"/>
      <w:lvlJc w:val="left"/>
      <w:pPr>
        <w:ind w:left="7524" w:hanging="347.0000000000009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6" w:hanging="424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val="es-ES"/>
    </w:rPr>
  </w:style>
  <w:style w:type="paragraph" w:styleId="Heading1">
    <w:name w:val="heading 1"/>
    <w:basedOn w:val="Normal"/>
    <w:uiPriority w:val="9"/>
    <w:qFormat w:val="1"/>
    <w:pPr>
      <w:ind w:left="826" w:hanging="424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ListParagraph">
    <w:name w:val="List Paragraph"/>
    <w:basedOn w:val="Normal"/>
    <w:uiPriority w:val="1"/>
    <w:qFormat w:val="1"/>
    <w:pPr>
      <w:ind w:left="761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table" w:styleId="TableGrid">
    <w:name w:val="Table Grid"/>
    <w:basedOn w:val="TableNormal"/>
    <w:uiPriority w:val="39"/>
    <w:rsid w:val="009545CB"/>
    <w:pPr>
      <w:widowControl w:val="1"/>
      <w:suppressAutoHyphens w:val="1"/>
      <w:autoSpaceDE w:val="1"/>
      <w:autoSpaceDN w:val="1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ShywRa7IGqIiFAjIcW5HIjcYNg==">CgMxLjA4AHIhMVk4R25QaDdyU3RmWVZoY3BlOFZBWDBlLTZINE1Kcnk2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2025-03-21T15:24:00Z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2022-04-07T00:00:00Z</vt:filetime>
  </property>
  <property fmtid="{D5CDD505-2E9C-101B-9397-08002B2CF9AE}" pid="4" name="Creator">
    <vt:lpwstr>Acrobat PDFMaker 21 for Word</vt:lpwstr>
  </property>
  <property fmtid="{D5CDD505-2E9C-101B-9397-08002B2CF9AE}" pid="5" name="DocSecurity">
    <vt:lpwstr>0</vt:lpwstr>
  </property>
  <property fmtid="{D5CDD505-2E9C-101B-9397-08002B2CF9AE}" pid="6" name="HyperlinksChanged">
    <vt:lpwstr>0</vt:lpwstr>
  </property>
  <property fmtid="{D5CDD505-2E9C-101B-9397-08002B2CF9AE}" pid="7" name="LastSaved">
    <vt:filetime>2025-03-21T00:00:00Z</vt:filetime>
  </property>
  <property fmtid="{D5CDD505-2E9C-101B-9397-08002B2CF9AE}" pid="8" name="LinksUpToDate">
    <vt:lpwstr>0</vt:lpwstr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ScaleCrop">
    <vt:lpwstr>0</vt:lpwstr>
  </property>
  <property fmtid="{D5CDD505-2E9C-101B-9397-08002B2CF9AE}" pid="11" name="ShareDoc">
    <vt:lpwstr>0</vt:lpwstr>
  </property>
  <property fmtid="{D5CDD505-2E9C-101B-9397-08002B2CF9AE}" pid="12" name="SourceModified">
    <vt:lpwstr>D:20220407153329</vt:lpwstr>
  </property>
</Properties>
</file>