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81" w:line="259" w:lineRule="auto"/>
        <w:ind w:left="2257" w:right="2157" w:firstLine="661.9999999999999"/>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Facultad de Ingeniería y Ciencias Escuela de Informática y Telecomunicaciones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left="0" w:right="39" w:firstLine="0"/>
        <w:jc w:val="center"/>
        <w:rPr>
          <w:sz w:val="20"/>
          <w:szCs w:val="20"/>
        </w:rPr>
      </w:pPr>
      <w:r w:rsidDel="00000000" w:rsidR="00000000" w:rsidRPr="00000000">
        <w:rPr>
          <w:sz w:val="20"/>
          <w:szCs w:val="20"/>
          <w:rtl w:val="0"/>
        </w:rPr>
        <w:t xml:space="preserve">PROGRAMA DE ASIGNATURA</w:t>
      </w:r>
    </w:p>
    <w:p w:rsidR="00000000" w:rsidDel="00000000" w:rsidP="00000000" w:rsidRDefault="00000000" w:rsidRPr="00000000" w14:paraId="00000004">
      <w:pPr>
        <w:spacing w:after="0" w:before="21" w:lineRule="auto"/>
        <w:ind w:right="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Tecnologías inalámbricas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numPr>
          <w:ilvl w:val="0"/>
          <w:numId w:val="3"/>
        </w:numPr>
        <w:tabs>
          <w:tab w:val="left" w:leader="none" w:pos="824"/>
        </w:tabs>
        <w:ind w:left="824" w:hanging="565"/>
        <w:jc w:val="left"/>
        <w:rPr>
          <w:sz w:val="20"/>
          <w:szCs w:val="20"/>
        </w:rPr>
      </w:pPr>
      <w:r w:rsidDel="00000000" w:rsidR="00000000" w:rsidRPr="00000000">
        <w:rPr>
          <w:sz w:val="20"/>
          <w:szCs w:val="20"/>
          <w:rtl w:val="0"/>
        </w:rPr>
        <w:t xml:space="preserve">Identificación</w:t>
      </w:r>
    </w:p>
    <w:p w:rsidR="00000000" w:rsidDel="00000000" w:rsidP="00000000" w:rsidRDefault="00000000" w:rsidRPr="00000000" w14:paraId="00000009">
      <w:pPr>
        <w:pStyle w:val="Heading1"/>
        <w:tabs>
          <w:tab w:val="left" w:leader="none" w:pos="824"/>
        </w:tabs>
        <w:ind w:left="824" w:firstLine="0"/>
        <w:jc w:val="right"/>
        <w:rPr>
          <w:sz w:val="20"/>
          <w:szCs w:val="20"/>
        </w:rPr>
      </w:pPr>
      <w:r w:rsidDel="00000000" w:rsidR="00000000" w:rsidRPr="00000000">
        <w:rPr>
          <w:rtl w:val="0"/>
        </w:rPr>
      </w:r>
    </w:p>
    <w:tbl>
      <w:tblPr>
        <w:tblStyle w:val="Table1"/>
        <w:tblW w:w="8663.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2"/>
        <w:gridCol w:w="4331"/>
        <w:tblGridChange w:id="0">
          <w:tblGrid>
            <w:gridCol w:w="4332"/>
            <w:gridCol w:w="4331"/>
          </w:tblGrid>
        </w:tblGridChange>
      </w:tblGrid>
      <w:tr>
        <w:trPr>
          <w:cantSplit w:val="0"/>
          <w:trHeight w:val="293" w:hRule="atLeast"/>
          <w:tblHeader w:val="0"/>
        </w:trPr>
        <w:tc>
          <w:tcPr>
            <w:gridSpan w:val="2"/>
          </w:tcPr>
          <w:p w:rsidR="00000000" w:rsidDel="00000000" w:rsidP="00000000" w:rsidRDefault="00000000" w:rsidRPr="00000000" w14:paraId="0000000A">
            <w:pPr>
              <w:pStyle w:val="Heading1"/>
              <w:tabs>
                <w:tab w:val="left" w:leader="none" w:pos="669"/>
              </w:tabs>
              <w:ind w:left="0" w:firstLine="0"/>
              <w:rPr>
                <w:b w:val="0"/>
                <w:sz w:val="20"/>
                <w:szCs w:val="20"/>
              </w:rPr>
            </w:pPr>
            <w:r w:rsidDel="00000000" w:rsidR="00000000" w:rsidRPr="00000000">
              <w:rPr>
                <w:b w:val="0"/>
                <w:sz w:val="20"/>
                <w:szCs w:val="20"/>
                <w:rtl w:val="0"/>
              </w:rPr>
              <w:t xml:space="preserve">Nombre de la Asignatura: Señales y Sistemas</w:t>
            </w:r>
          </w:p>
        </w:tc>
      </w:tr>
      <w:tr>
        <w:trPr>
          <w:cantSplit w:val="0"/>
          <w:trHeight w:val="293" w:hRule="atLeast"/>
          <w:tblHeader w:val="0"/>
        </w:trPr>
        <w:tc>
          <w:tcPr/>
          <w:p w:rsidR="00000000" w:rsidDel="00000000" w:rsidP="00000000" w:rsidRDefault="00000000" w:rsidRPr="00000000" w14:paraId="0000000C">
            <w:pPr>
              <w:pStyle w:val="Heading1"/>
              <w:tabs>
                <w:tab w:val="left" w:leader="none" w:pos="669"/>
              </w:tabs>
              <w:ind w:left="0" w:firstLine="0"/>
              <w:rPr>
                <w:b w:val="0"/>
                <w:sz w:val="20"/>
                <w:szCs w:val="20"/>
              </w:rPr>
            </w:pPr>
            <w:r w:rsidDel="00000000" w:rsidR="00000000" w:rsidRPr="00000000">
              <w:rPr>
                <w:b w:val="0"/>
                <w:sz w:val="20"/>
                <w:szCs w:val="20"/>
                <w:rtl w:val="0"/>
              </w:rPr>
              <w:t xml:space="preserve">Códigos: </w:t>
            </w:r>
            <w:r w:rsidDel="00000000" w:rsidR="00000000" w:rsidRPr="00000000">
              <w:rPr>
                <w:b w:val="0"/>
                <w:color w:val="000009"/>
                <w:sz w:val="20"/>
                <w:szCs w:val="20"/>
                <w:rtl w:val="0"/>
              </w:rPr>
              <w:t xml:space="preserve">CIT-2412</w:t>
            </w:r>
            <w:r w:rsidDel="00000000" w:rsidR="00000000" w:rsidRPr="00000000">
              <w:rPr>
                <w:rtl w:val="0"/>
              </w:rPr>
            </w:r>
          </w:p>
        </w:tc>
        <w:tc>
          <w:tcPr/>
          <w:p w:rsidR="00000000" w:rsidDel="00000000" w:rsidP="00000000" w:rsidRDefault="00000000" w:rsidRPr="00000000" w14:paraId="0000000D">
            <w:pPr>
              <w:pStyle w:val="Heading1"/>
              <w:tabs>
                <w:tab w:val="left" w:leader="none" w:pos="669"/>
              </w:tabs>
              <w:ind w:left="0" w:firstLine="0"/>
              <w:rPr>
                <w:b w:val="0"/>
                <w:sz w:val="20"/>
                <w:szCs w:val="20"/>
              </w:rPr>
            </w:pPr>
            <w:r w:rsidDel="00000000" w:rsidR="00000000" w:rsidRPr="00000000">
              <w:rPr>
                <w:b w:val="0"/>
                <w:sz w:val="20"/>
                <w:szCs w:val="20"/>
                <w:rtl w:val="0"/>
              </w:rPr>
              <w:t xml:space="preserve">Créditos: 5</w:t>
            </w:r>
          </w:p>
        </w:tc>
      </w:tr>
      <w:tr>
        <w:trPr>
          <w:cantSplit w:val="0"/>
          <w:trHeight w:val="293" w:hRule="atLeast"/>
          <w:tblHeader w:val="0"/>
        </w:trPr>
        <w:tc>
          <w:tcPr/>
          <w:p w:rsidR="00000000" w:rsidDel="00000000" w:rsidP="00000000" w:rsidRDefault="00000000" w:rsidRPr="00000000" w14:paraId="0000000E">
            <w:pPr>
              <w:pStyle w:val="Heading1"/>
              <w:tabs>
                <w:tab w:val="left" w:leader="none" w:pos="669"/>
              </w:tabs>
              <w:ind w:left="0" w:firstLine="0"/>
              <w:rPr>
                <w:b w:val="0"/>
                <w:sz w:val="20"/>
                <w:szCs w:val="20"/>
              </w:rPr>
            </w:pPr>
            <w:r w:rsidDel="00000000" w:rsidR="00000000" w:rsidRPr="00000000">
              <w:rPr>
                <w:b w:val="0"/>
                <w:sz w:val="20"/>
                <w:szCs w:val="20"/>
                <w:rtl w:val="0"/>
              </w:rPr>
              <w:t xml:space="preserve">Duración: Semestral</w:t>
            </w:r>
          </w:p>
        </w:tc>
        <w:tc>
          <w:tcPr/>
          <w:p w:rsidR="00000000" w:rsidDel="00000000" w:rsidP="00000000" w:rsidRDefault="00000000" w:rsidRPr="00000000" w14:paraId="0000000F">
            <w:pPr>
              <w:pStyle w:val="Heading1"/>
              <w:tabs>
                <w:tab w:val="left" w:leader="none" w:pos="669"/>
              </w:tabs>
              <w:ind w:left="0" w:firstLine="0"/>
              <w:rPr>
                <w:b w:val="0"/>
                <w:sz w:val="20"/>
                <w:szCs w:val="20"/>
              </w:rPr>
            </w:pPr>
            <w:r w:rsidDel="00000000" w:rsidR="00000000" w:rsidRPr="00000000">
              <w:rPr>
                <w:b w:val="0"/>
                <w:sz w:val="20"/>
                <w:szCs w:val="20"/>
                <w:rtl w:val="0"/>
              </w:rPr>
              <w:t xml:space="preserve">Ubicación en el plan de estudios: Semestre 8</w:t>
            </w:r>
          </w:p>
        </w:tc>
      </w:tr>
      <w:tr>
        <w:trPr>
          <w:cantSplit w:val="0"/>
          <w:trHeight w:val="293" w:hRule="atLeast"/>
          <w:tblHeader w:val="0"/>
        </w:trPr>
        <w:tc>
          <w:tcPr>
            <w:gridSpan w:val="2"/>
          </w:tcPr>
          <w:p w:rsidR="00000000" w:rsidDel="00000000" w:rsidP="00000000" w:rsidRDefault="00000000" w:rsidRPr="00000000" w14:paraId="00000010">
            <w:pPr>
              <w:pStyle w:val="Heading1"/>
              <w:tabs>
                <w:tab w:val="left" w:leader="none" w:pos="669"/>
              </w:tabs>
              <w:ind w:left="0" w:firstLine="0"/>
              <w:rPr>
                <w:b w:val="0"/>
                <w:sz w:val="20"/>
                <w:szCs w:val="20"/>
              </w:rPr>
            </w:pPr>
            <w:r w:rsidDel="00000000" w:rsidR="00000000" w:rsidRPr="00000000">
              <w:rPr>
                <w:b w:val="0"/>
                <w:sz w:val="20"/>
                <w:szCs w:val="20"/>
                <w:rtl w:val="0"/>
              </w:rPr>
              <w:t xml:space="preserve">Requisitos: CIT-2411 Comunicaciones digitales, CIT-2504 Probabilidades y estadística</w:t>
            </w:r>
          </w:p>
        </w:tc>
      </w:tr>
      <w:tr>
        <w:trPr>
          <w:cantSplit w:val="0"/>
          <w:trHeight w:val="293" w:hRule="atLeast"/>
          <w:tblHeader w:val="0"/>
        </w:trPr>
        <w:tc>
          <w:tcPr>
            <w:gridSpan w:val="2"/>
          </w:tcPr>
          <w:p w:rsidR="00000000" w:rsidDel="00000000" w:rsidP="00000000" w:rsidRDefault="00000000" w:rsidRPr="00000000" w14:paraId="00000012">
            <w:pPr>
              <w:pStyle w:val="Heading1"/>
              <w:tabs>
                <w:tab w:val="left" w:leader="none" w:pos="669"/>
              </w:tabs>
              <w:ind w:left="0" w:firstLine="0"/>
              <w:rPr>
                <w:b w:val="0"/>
                <w:sz w:val="20"/>
                <w:szCs w:val="20"/>
              </w:rPr>
            </w:pPr>
            <w:r w:rsidDel="00000000" w:rsidR="00000000" w:rsidRPr="00000000">
              <w:rPr>
                <w:b w:val="0"/>
                <w:sz w:val="20"/>
                <w:szCs w:val="20"/>
                <w:rtl w:val="0"/>
              </w:rPr>
              <w:t xml:space="preserve">Sesiones cátedras semanales: 2 cátedras, 1 laboratorio</w:t>
            </w:r>
          </w:p>
        </w:tc>
      </w:tr>
      <w:tr>
        <w:trPr>
          <w:cantSplit w:val="0"/>
          <w:trHeight w:val="309" w:hRule="atLeast"/>
          <w:tblHeader w:val="0"/>
        </w:trPr>
        <w:tc>
          <w:tcPr>
            <w:gridSpan w:val="2"/>
          </w:tcPr>
          <w:p w:rsidR="00000000" w:rsidDel="00000000" w:rsidP="00000000" w:rsidRDefault="00000000" w:rsidRPr="00000000" w14:paraId="00000014">
            <w:pPr>
              <w:pStyle w:val="Heading1"/>
              <w:tabs>
                <w:tab w:val="left" w:leader="none" w:pos="669"/>
              </w:tabs>
              <w:ind w:left="0" w:firstLine="0"/>
              <w:rPr>
                <w:b w:val="0"/>
                <w:sz w:val="20"/>
                <w:szCs w:val="20"/>
              </w:rPr>
            </w:pPr>
            <w:r w:rsidDel="00000000" w:rsidR="00000000" w:rsidRPr="00000000">
              <w:rPr>
                <w:b w:val="0"/>
                <w:sz w:val="20"/>
                <w:szCs w:val="20"/>
                <w:rtl w:val="0"/>
              </w:rPr>
              <w:t xml:space="preserve">Sesiones de Ayudantía: 1</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numPr>
          <w:ilvl w:val="0"/>
          <w:numId w:val="3"/>
        </w:numPr>
        <w:tabs>
          <w:tab w:val="left" w:leader="none" w:pos="824"/>
        </w:tabs>
        <w:ind w:left="824" w:hanging="565"/>
        <w:jc w:val="left"/>
        <w:rPr>
          <w:sz w:val="20"/>
          <w:szCs w:val="20"/>
        </w:rPr>
      </w:pPr>
      <w:r w:rsidDel="00000000" w:rsidR="00000000" w:rsidRPr="00000000">
        <w:rPr>
          <w:sz w:val="20"/>
          <w:szCs w:val="20"/>
          <w:rtl w:val="0"/>
        </w:rPr>
        <w:t xml:space="preserve">Descripción de la asignatura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69" w:right="239" w:hanging="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curso permitirá a los/las estudiantes no sólo entender el funcionamiento de diversos estándares de comunicación inalámbrica, sino también conocer y aplicar diversas herramientas de caracterización de canal, aplicables a distintos sistemas de transmisión de datos. De esta manera, los/las estudiantes podrán analizar las limitaciones impuestas por la capa física para el diseño de sistemas y de arquitecturas de comunicaciones inalámbricas.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3"/>
        </w:numPr>
        <w:tabs>
          <w:tab w:val="left" w:leader="none" w:pos="561"/>
        </w:tabs>
        <w:ind w:left="561" w:hanging="302"/>
        <w:jc w:val="left"/>
        <w:rPr>
          <w:sz w:val="20"/>
          <w:szCs w:val="20"/>
        </w:rPr>
      </w:pPr>
      <w:r w:rsidDel="00000000" w:rsidR="00000000" w:rsidRPr="00000000">
        <w:rPr>
          <w:sz w:val="20"/>
          <w:szCs w:val="20"/>
          <w:rtl w:val="0"/>
        </w:rPr>
        <w:t xml:space="preserve">Resultados de aprendizaje.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79"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Modela la capa física de un sistema de comunicaciones inalámbricas, celular, punto a punto, entre otros,asegurando la calidad de este.</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79"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Predice la cobertura de un sistema radiante, para asegurar la disponibilidad espacial y temporal en unidades receptoras.</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79"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 campañas de medición grupal, orientadas a la estimación de parámetros de calidad de enlace, con la finalidad de documentar el desempeño de la capa física bajo análisis.</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79"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 en equipos de trabajo, planificando, coordinando y ejecutando tareas con liderazgo y responsabilidad, comunicándose efectivamente y elaborando informes técnicos que reflejen procedimientos, resultados y análisis del trabajo realizado.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0"/>
          <w:numId w:val="3"/>
        </w:numPr>
        <w:tabs>
          <w:tab w:val="left" w:leader="none" w:pos="692"/>
        </w:tabs>
        <w:ind w:left="692" w:hanging="308"/>
        <w:jc w:val="left"/>
        <w:rPr>
          <w:sz w:val="20"/>
          <w:szCs w:val="20"/>
        </w:rPr>
      </w:pPr>
      <w:r w:rsidDel="00000000" w:rsidR="00000000" w:rsidRPr="00000000">
        <w:rPr>
          <w:sz w:val="20"/>
          <w:szCs w:val="20"/>
          <w:rtl w:val="0"/>
        </w:rPr>
        <w:t xml:space="preserve">Unidades Temáticas</w:t>
      </w:r>
    </w:p>
    <w:p w:rsidR="00000000" w:rsidDel="00000000" w:rsidP="00000000" w:rsidRDefault="00000000" w:rsidRPr="00000000" w14:paraId="00000025">
      <w:pPr>
        <w:pStyle w:val="Heading1"/>
        <w:tabs>
          <w:tab w:val="left" w:leader="none" w:pos="692"/>
        </w:tabs>
        <w:ind w:left="1208"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14" w:line="240"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1:</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97"/>
        </w:tabs>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Brecha digital en sus distintos ámbitos: género, socioeconómica, entre otras.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7"/>
        </w:tabs>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97"/>
        </w:tabs>
        <w:spacing w:after="0" w:before="0" w:line="240"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2:</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97"/>
        </w:tabs>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espectro y eficiencia espectral.</w:t>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97"/>
        </w:tabs>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Redes inalámbricas.</w:t>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97"/>
        </w:tabs>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 física y propagación en el medio inalámbrico.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7"/>
        </w:tabs>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97"/>
        </w:tabs>
        <w:spacing w:after="0" w:before="0" w:line="240" w:lineRule="auto"/>
        <w:ind w:left="14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3:</w:t>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97"/>
        </w:tabs>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y arquitecturas celulares.</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97"/>
        </w:tabs>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Teoría de tráfico.</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97"/>
        </w:tabs>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Tópicos emergentes en comunicaciones inalámbricas.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numPr>
          <w:ilvl w:val="0"/>
          <w:numId w:val="3"/>
        </w:numPr>
        <w:tabs>
          <w:tab w:val="left" w:leader="none" w:pos="692"/>
        </w:tabs>
        <w:ind w:left="692" w:hanging="308"/>
        <w:jc w:val="left"/>
        <w:rPr>
          <w:sz w:val="20"/>
          <w:szCs w:val="20"/>
        </w:rPr>
      </w:pPr>
      <w:r w:rsidDel="00000000" w:rsidR="00000000" w:rsidRPr="00000000">
        <w:rPr>
          <w:sz w:val="20"/>
          <w:szCs w:val="20"/>
          <w:rtl w:val="0"/>
        </w:rPr>
        <w:t xml:space="preserve">Descripción general del método de enseñanza:</w:t>
      </w:r>
    </w:p>
    <w:p w:rsidR="00000000" w:rsidDel="00000000" w:rsidP="00000000" w:rsidRDefault="00000000" w:rsidRPr="00000000" w14:paraId="00000035">
      <w:pPr>
        <w:pStyle w:val="Heading1"/>
        <w:tabs>
          <w:tab w:val="left" w:leader="none" w:pos="692"/>
        </w:tabs>
        <w:ind w:left="692" w:firstLine="0"/>
        <w:jc w:val="right"/>
        <w:rPr>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69" w:right="244" w:hanging="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clases de cátedra serán expositivas, dictadas por el profesor de la asignatura. Ellas serán basadas en presentaciones electrónicas, con apoyo adicional de herramientas de simulación. Se fomentará el análisis crítico y diseño comparado de arquitecturas de comunicaciones bajo restricciones.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69" w:right="244" w:hanging="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69" w:right="244" w:hanging="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la clase de laboratorio, los/las estudiantes trabajarán en grupos. Cada una de estas actividades finalizará con la elaboración de un informe escrito, que dé cuenta de los resultados/análisis obtenidos.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69" w:right="244" w:hanging="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69" w:right="244" w:hanging="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 un mínimo de 4 experiencias de laboratorio. </w:t>
      </w:r>
    </w:p>
    <w:p w:rsidR="00000000" w:rsidDel="00000000" w:rsidP="00000000" w:rsidRDefault="00000000" w:rsidRPr="00000000" w14:paraId="0000003B">
      <w:pPr>
        <w:pStyle w:val="Heading1"/>
        <w:tabs>
          <w:tab w:val="left" w:leader="none" w:pos="692"/>
        </w:tabs>
        <w:jc w:val="right"/>
        <w:rPr>
          <w:sz w:val="20"/>
          <w:szCs w:val="20"/>
        </w:rPr>
      </w:pPr>
      <w:r w:rsidDel="00000000" w:rsidR="00000000" w:rsidRPr="00000000">
        <w:rPr>
          <w:rtl w:val="0"/>
        </w:rPr>
      </w:r>
    </w:p>
    <w:p w:rsidR="00000000" w:rsidDel="00000000" w:rsidP="00000000" w:rsidRDefault="00000000" w:rsidRPr="00000000" w14:paraId="0000003C">
      <w:pPr>
        <w:pStyle w:val="Heading1"/>
        <w:numPr>
          <w:ilvl w:val="0"/>
          <w:numId w:val="3"/>
        </w:numPr>
        <w:tabs>
          <w:tab w:val="left" w:leader="none" w:pos="692"/>
        </w:tabs>
        <w:ind w:left="692" w:hanging="308"/>
        <w:jc w:val="left"/>
        <w:rPr>
          <w:sz w:val="20"/>
          <w:szCs w:val="20"/>
        </w:rPr>
      </w:pPr>
      <w:r w:rsidDel="00000000" w:rsidR="00000000" w:rsidRPr="00000000">
        <w:rPr>
          <w:sz w:val="20"/>
          <w:szCs w:val="20"/>
          <w:rtl w:val="0"/>
        </w:rPr>
        <w:t xml:space="preserve">Descripción general del método de evaluación: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69" w:right="245" w:hanging="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nota de presentación de la asignatura se calculará como la ponderación de dos evaluaciones solemne, junto con el promedio de las notas parciales y de laboratorios. Estas notas parciales corresponden a las tareas, trabajos, y/o controles efectuados durante el semestre.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69" w:right="245" w:hanging="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69" w:right="245" w:hanging="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Sólo podrá eximirse, quien habiendo rendido todas sus evaluaciones (incluyendo tareas, trabajos, controles, y laboratorios),  obtenga una nota de presentación mayor o igual a 5.0, y todos  los laboratorios sean mayores o iguales a 4.0.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69" w:right="245" w:hanging="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69" w:right="245" w:hanging="10"/>
        <w:jc w:val="both"/>
        <w:rPr>
          <w:rFonts w:ascii="Arial" w:cs="Arial" w:eastAsia="Arial" w:hAnsi="Arial"/>
          <w:b w:val="0"/>
          <w:i w:val="0"/>
          <w:smallCaps w:val="0"/>
          <w:strike w:val="0"/>
          <w:color w:val="000000"/>
          <w:sz w:val="20"/>
          <w:szCs w:val="20"/>
          <w:u w:val="none"/>
          <w:shd w:fill="auto" w:val="clear"/>
          <w:vertAlign w:val="baseline"/>
        </w:rPr>
        <w:sectPr>
          <w:pgSz w:h="15840" w:w="12240" w:orient="portrait"/>
          <w:pgMar w:bottom="280" w:top="1340" w:left="1440" w:right="1440" w:header="0" w:footer="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nota final de la asignatura corresponderá a 0.7·NPresentación + 0.3·NExamen,  donde NPresentación corresponde a la nota de presentación y NExamen corresponde a la nota del examen final.</w:t>
      </w:r>
    </w:p>
    <w:p w:rsidR="00000000" w:rsidDel="00000000" w:rsidP="00000000" w:rsidRDefault="00000000" w:rsidRPr="00000000" w14:paraId="00000043">
      <w:pPr>
        <w:pStyle w:val="Heading1"/>
        <w:numPr>
          <w:ilvl w:val="0"/>
          <w:numId w:val="3"/>
        </w:numPr>
        <w:tabs>
          <w:tab w:val="left" w:leader="none" w:pos="772"/>
        </w:tabs>
        <w:spacing w:after="0" w:before="81" w:lineRule="auto"/>
        <w:ind w:left="772" w:hanging="388"/>
        <w:jc w:val="left"/>
        <w:rPr>
          <w:sz w:val="20"/>
          <w:szCs w:val="20"/>
        </w:rPr>
      </w:pPr>
      <w:r w:rsidDel="00000000" w:rsidR="00000000" w:rsidRPr="00000000">
        <w:rPr>
          <w:sz w:val="20"/>
          <w:szCs w:val="20"/>
          <w:rtl w:val="0"/>
        </w:rPr>
        <w:t xml:space="preserve">Bibliografía Básica Obligatoria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7"/>
          <w:tab w:val="left" w:leader="none" w:pos="979"/>
        </w:tabs>
        <w:spacing w:after="0" w:before="0" w:line="246.99999999999994" w:lineRule="auto"/>
        <w:ind w:left="979" w:right="245"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Rappaport, “Wireless communications, principles and practice”, 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 Editorial Pearson, 2010.</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7"/>
          <w:tab w:val="left" w:leader="none" w:pos="979"/>
        </w:tabs>
        <w:spacing w:after="0" w:before="6" w:line="240" w:lineRule="auto"/>
        <w:ind w:left="979" w:right="245"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Savo G. Glisic, “Advanced wireless networks: 4G cognitive and cooperative broadband technologies”, 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 Editorial Wiley, 2007.</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7"/>
        </w:tabs>
        <w:spacing w:after="0" w:before="12" w:line="240" w:lineRule="auto"/>
        <w:ind w:left="977" w:right="0" w:hanging="358"/>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Rappaport, “Millimeter wave wireless communications”, Editorial Pearson, 2015</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7"/>
        </w:tabs>
        <w:spacing w:after="0" w:before="16" w:line="240" w:lineRule="auto"/>
        <w:ind w:left="977" w:right="0" w:hanging="358"/>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Standards.</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77"/>
        </w:tabs>
        <w:spacing w:after="0" w:before="11" w:line="240" w:lineRule="auto"/>
        <w:ind w:left="977" w:right="0" w:hanging="358"/>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Artículos de revistas IEEE, IEEExplore, ACM, relativas a la temática.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59" w:right="508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Elaborado por: Luciano Ahumada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59" w:right="508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Revisado por: Erick Carreño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59" w:right="508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revisión: </w:t>
      </w:r>
      <w:r w:rsidDel="00000000" w:rsidR="00000000" w:rsidRPr="00000000">
        <w:rPr>
          <w:sz w:val="20"/>
          <w:szCs w:val="20"/>
          <w:rtl w:val="0"/>
        </w:rPr>
        <w:t xml:space="preserve">Mayo 2025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59" w:right="508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vigencia: Marzo 202</w:t>
      </w:r>
      <w:r w:rsidDel="00000000" w:rsidR="00000000" w:rsidRPr="00000000">
        <w:rPr>
          <w:sz w:val="20"/>
          <w:szCs w:val="20"/>
          <w:rtl w:val="0"/>
        </w:rPr>
        <w:t xml:space="preserve">6</w:t>
      </w:r>
      <w:r w:rsidDel="00000000" w:rsidR="00000000" w:rsidRPr="00000000">
        <w:rPr>
          <w:rtl w:val="0"/>
        </w:rPr>
      </w:r>
    </w:p>
    <w:sectPr>
      <w:type w:val="nextPage"/>
      <w:pgSz w:h="15840" w:w="12240" w:orient="portrait"/>
      <w:pgMar w:bottom="280" w:top="13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979" w:hanging="360"/>
      </w:pPr>
      <w:rPr>
        <w:b w:val="0"/>
        <w:i w:val="0"/>
        <w:sz w:val="22"/>
        <w:szCs w:val="22"/>
      </w:rPr>
    </w:lvl>
    <w:lvl w:ilvl="1">
      <w:start w:val="0"/>
      <w:numFmt w:val="bullet"/>
      <w:lvlText w:val="●"/>
      <w:lvlJc w:val="left"/>
      <w:pPr>
        <w:ind w:left="1818" w:hanging="360"/>
      </w:pPr>
      <w:rPr>
        <w:rFonts w:ascii="Noto Sans Symbols" w:cs="Noto Sans Symbols" w:eastAsia="Noto Sans Symbols" w:hAnsi="Noto Sans Symbols"/>
      </w:rPr>
    </w:lvl>
    <w:lvl w:ilvl="2">
      <w:start w:val="0"/>
      <w:numFmt w:val="bullet"/>
      <w:lvlText w:val="●"/>
      <w:lvlJc w:val="left"/>
      <w:pPr>
        <w:ind w:left="2656" w:hanging="360"/>
      </w:pPr>
      <w:rPr>
        <w:rFonts w:ascii="Noto Sans Symbols" w:cs="Noto Sans Symbols" w:eastAsia="Noto Sans Symbols" w:hAnsi="Noto Sans Symbols"/>
      </w:rPr>
    </w:lvl>
    <w:lvl w:ilvl="3">
      <w:start w:val="0"/>
      <w:numFmt w:val="bullet"/>
      <w:lvlText w:val="●"/>
      <w:lvlJc w:val="left"/>
      <w:pPr>
        <w:ind w:left="3494" w:hanging="360"/>
      </w:pPr>
      <w:rPr>
        <w:rFonts w:ascii="Noto Sans Symbols" w:cs="Noto Sans Symbols" w:eastAsia="Noto Sans Symbols" w:hAnsi="Noto Sans Symbols"/>
      </w:rPr>
    </w:lvl>
    <w:lvl w:ilvl="4">
      <w:start w:val="0"/>
      <w:numFmt w:val="bullet"/>
      <w:lvlText w:val="●"/>
      <w:lvlJc w:val="left"/>
      <w:pPr>
        <w:ind w:left="4332" w:hanging="360"/>
      </w:pPr>
      <w:rPr>
        <w:rFonts w:ascii="Noto Sans Symbols" w:cs="Noto Sans Symbols" w:eastAsia="Noto Sans Symbols" w:hAnsi="Noto Sans Symbols"/>
      </w:rPr>
    </w:lvl>
    <w:lvl w:ilvl="5">
      <w:start w:val="0"/>
      <w:numFmt w:val="bullet"/>
      <w:lvlText w:val="●"/>
      <w:lvlJc w:val="left"/>
      <w:pPr>
        <w:ind w:left="5170" w:hanging="360"/>
      </w:pPr>
      <w:rPr>
        <w:rFonts w:ascii="Noto Sans Symbols" w:cs="Noto Sans Symbols" w:eastAsia="Noto Sans Symbols" w:hAnsi="Noto Sans Symbols"/>
      </w:rPr>
    </w:lvl>
    <w:lvl w:ilvl="6">
      <w:start w:val="0"/>
      <w:numFmt w:val="bullet"/>
      <w:lvlText w:val="●"/>
      <w:lvlJc w:val="left"/>
      <w:pPr>
        <w:ind w:left="6008" w:hanging="360"/>
      </w:pPr>
      <w:rPr>
        <w:rFonts w:ascii="Noto Sans Symbols" w:cs="Noto Sans Symbols" w:eastAsia="Noto Sans Symbols" w:hAnsi="Noto Sans Symbols"/>
      </w:rPr>
    </w:lvl>
    <w:lvl w:ilvl="7">
      <w:start w:val="0"/>
      <w:numFmt w:val="bullet"/>
      <w:lvlText w:val="●"/>
      <w:lvlJc w:val="left"/>
      <w:pPr>
        <w:ind w:left="6846" w:hanging="360"/>
      </w:pPr>
      <w:rPr>
        <w:rFonts w:ascii="Noto Sans Symbols" w:cs="Noto Sans Symbols" w:eastAsia="Noto Sans Symbols" w:hAnsi="Noto Sans Symbols"/>
      </w:rPr>
    </w:lvl>
    <w:lvl w:ilvl="8">
      <w:start w:val="0"/>
      <w:numFmt w:val="bullet"/>
      <w:lvlText w:val="●"/>
      <w:lvlJc w:val="left"/>
      <w:pPr>
        <w:ind w:left="7684" w:hanging="360"/>
      </w:pPr>
      <w:rPr>
        <w:rFonts w:ascii="Noto Sans Symbols" w:cs="Noto Sans Symbols" w:eastAsia="Noto Sans Symbols" w:hAnsi="Noto Sans Symbols"/>
      </w:rPr>
    </w:lvl>
  </w:abstractNum>
  <w:abstractNum w:abstractNumId="3">
    <w:lvl w:ilvl="0">
      <w:start w:val="1"/>
      <w:numFmt w:val="decimal"/>
      <w:lvlText w:val="%1."/>
      <w:lvlJc w:val="left"/>
      <w:pPr>
        <w:ind w:left="824" w:hanging="566"/>
      </w:pPr>
      <w:rPr>
        <w:b w:val="1"/>
        <w:i w:val="0"/>
        <w:sz w:val="22"/>
        <w:szCs w:val="22"/>
      </w:rPr>
    </w:lvl>
    <w:lvl w:ilvl="1">
      <w:start w:val="0"/>
      <w:numFmt w:val="bullet"/>
      <w:lvlText w:val="-"/>
      <w:lvlJc w:val="left"/>
      <w:pPr>
        <w:ind w:left="1093" w:hanging="348"/>
      </w:pPr>
      <w:rPr>
        <w:rFonts w:ascii="Arial" w:cs="Arial" w:eastAsia="Arial" w:hAnsi="Arial"/>
      </w:rPr>
    </w:lvl>
    <w:lvl w:ilvl="2">
      <w:start w:val="0"/>
      <w:numFmt w:val="bullet"/>
      <w:lvlText w:val="●"/>
      <w:lvlJc w:val="left"/>
      <w:pPr>
        <w:ind w:left="2017" w:hanging="348.0000000000002"/>
      </w:pPr>
      <w:rPr>
        <w:rFonts w:ascii="Noto Sans Symbols" w:cs="Noto Sans Symbols" w:eastAsia="Noto Sans Symbols" w:hAnsi="Noto Sans Symbols"/>
      </w:rPr>
    </w:lvl>
    <w:lvl w:ilvl="3">
      <w:start w:val="0"/>
      <w:numFmt w:val="bullet"/>
      <w:lvlText w:val="●"/>
      <w:lvlJc w:val="left"/>
      <w:pPr>
        <w:ind w:left="2935" w:hanging="348"/>
      </w:pPr>
      <w:rPr>
        <w:rFonts w:ascii="Noto Sans Symbols" w:cs="Noto Sans Symbols" w:eastAsia="Noto Sans Symbols" w:hAnsi="Noto Sans Symbols"/>
      </w:rPr>
    </w:lvl>
    <w:lvl w:ilvl="4">
      <w:start w:val="0"/>
      <w:numFmt w:val="bullet"/>
      <w:lvlText w:val="●"/>
      <w:lvlJc w:val="left"/>
      <w:pPr>
        <w:ind w:left="3853" w:hanging="348"/>
      </w:pPr>
      <w:rPr>
        <w:rFonts w:ascii="Noto Sans Symbols" w:cs="Noto Sans Symbols" w:eastAsia="Noto Sans Symbols" w:hAnsi="Noto Sans Symbols"/>
      </w:rPr>
    </w:lvl>
    <w:lvl w:ilvl="5">
      <w:start w:val="0"/>
      <w:numFmt w:val="bullet"/>
      <w:lvlText w:val="●"/>
      <w:lvlJc w:val="left"/>
      <w:pPr>
        <w:ind w:left="4771" w:hanging="348"/>
      </w:pPr>
      <w:rPr>
        <w:rFonts w:ascii="Noto Sans Symbols" w:cs="Noto Sans Symbols" w:eastAsia="Noto Sans Symbols" w:hAnsi="Noto Sans Symbols"/>
      </w:rPr>
    </w:lvl>
    <w:lvl w:ilvl="6">
      <w:start w:val="0"/>
      <w:numFmt w:val="bullet"/>
      <w:lvlText w:val="●"/>
      <w:lvlJc w:val="left"/>
      <w:pPr>
        <w:ind w:left="5688" w:hanging="348"/>
      </w:pPr>
      <w:rPr>
        <w:rFonts w:ascii="Noto Sans Symbols" w:cs="Noto Sans Symbols" w:eastAsia="Noto Sans Symbols" w:hAnsi="Noto Sans Symbols"/>
      </w:rPr>
    </w:lvl>
    <w:lvl w:ilvl="7">
      <w:start w:val="0"/>
      <w:numFmt w:val="bullet"/>
      <w:lvlText w:val="●"/>
      <w:lvlJc w:val="left"/>
      <w:pPr>
        <w:ind w:left="6606" w:hanging="347.9999999999991"/>
      </w:pPr>
      <w:rPr>
        <w:rFonts w:ascii="Noto Sans Symbols" w:cs="Noto Sans Symbols" w:eastAsia="Noto Sans Symbols" w:hAnsi="Noto Sans Symbols"/>
      </w:rPr>
    </w:lvl>
    <w:lvl w:ilvl="8">
      <w:start w:val="0"/>
      <w:numFmt w:val="bullet"/>
      <w:lvlText w:val="●"/>
      <w:lvlJc w:val="left"/>
      <w:pPr>
        <w:ind w:left="7524" w:hanging="348"/>
      </w:pPr>
      <w:rPr>
        <w:rFonts w:ascii="Noto Sans Symbols" w:cs="Noto Sans Symbols" w:eastAsia="Noto Sans Symbols" w:hAnsi="Noto Sans Symbols"/>
      </w:rPr>
    </w:lvl>
  </w:abstractNum>
  <w:abstractNum w:abstractNumId="4">
    <w:lvl w:ilvl="0">
      <w:start w:val="1"/>
      <w:numFmt w:val="decimal"/>
      <w:lvlText w:val="%1."/>
      <w:lvlJc w:val="left"/>
      <w:pPr>
        <w:ind w:left="979" w:hanging="360"/>
      </w:pPr>
      <w:rPr>
        <w:rFonts w:ascii="Noto Sans Symbols" w:cs="Noto Sans Symbols" w:eastAsia="Noto Sans Symbols" w:hAnsi="Noto Sans Symbols"/>
      </w:rPr>
    </w:lvl>
    <w:lvl w:ilvl="1">
      <w:start w:val="1"/>
      <w:numFmt w:val="lowerLetter"/>
      <w:lvlText w:val="%2."/>
      <w:lvlJc w:val="left"/>
      <w:pPr>
        <w:ind w:left="1339" w:hanging="360"/>
      </w:pPr>
      <w:rPr>
        <w:rFonts w:ascii="Noto Sans Symbols" w:cs="Noto Sans Symbols" w:eastAsia="Noto Sans Symbols" w:hAnsi="Noto Sans Symbols"/>
      </w:rPr>
    </w:lvl>
    <w:lvl w:ilvl="2">
      <w:start w:val="1"/>
      <w:numFmt w:val="lowerRoman"/>
      <w:lvlText w:val="%3."/>
      <w:lvlJc w:val="right"/>
      <w:pPr>
        <w:ind w:left="1699" w:hanging="360"/>
      </w:pPr>
      <w:rPr>
        <w:rFonts w:ascii="Noto Sans Symbols" w:cs="Noto Sans Symbols" w:eastAsia="Noto Sans Symbols" w:hAnsi="Noto Sans Symbols"/>
      </w:rPr>
    </w:lvl>
    <w:lvl w:ilvl="3">
      <w:start w:val="1"/>
      <w:numFmt w:val="decimal"/>
      <w:lvlText w:val="%4."/>
      <w:lvlJc w:val="left"/>
      <w:pPr>
        <w:ind w:left="2059" w:hanging="360"/>
      </w:pPr>
      <w:rPr>
        <w:rFonts w:ascii="Noto Sans Symbols" w:cs="Noto Sans Symbols" w:eastAsia="Noto Sans Symbols" w:hAnsi="Noto Sans Symbols"/>
      </w:rPr>
    </w:lvl>
    <w:lvl w:ilvl="4">
      <w:start w:val="1"/>
      <w:numFmt w:val="lowerLetter"/>
      <w:lvlText w:val="%5."/>
      <w:lvlJc w:val="left"/>
      <w:pPr>
        <w:ind w:left="2419" w:hanging="360"/>
      </w:pPr>
      <w:rPr>
        <w:rFonts w:ascii="Noto Sans Symbols" w:cs="Noto Sans Symbols" w:eastAsia="Noto Sans Symbols" w:hAnsi="Noto Sans Symbols"/>
      </w:rPr>
    </w:lvl>
    <w:lvl w:ilvl="5">
      <w:start w:val="1"/>
      <w:numFmt w:val="lowerRoman"/>
      <w:lvlText w:val="%6."/>
      <w:lvlJc w:val="right"/>
      <w:pPr>
        <w:ind w:left="2779" w:hanging="360"/>
      </w:pPr>
      <w:rPr>
        <w:rFonts w:ascii="Noto Sans Symbols" w:cs="Noto Sans Symbols" w:eastAsia="Noto Sans Symbols" w:hAnsi="Noto Sans Symbols"/>
      </w:rPr>
    </w:lvl>
    <w:lvl w:ilvl="6">
      <w:start w:val="1"/>
      <w:numFmt w:val="decimal"/>
      <w:lvlText w:val="%7."/>
      <w:lvlJc w:val="left"/>
      <w:pPr>
        <w:ind w:left="3139" w:hanging="360"/>
      </w:pPr>
      <w:rPr>
        <w:rFonts w:ascii="Noto Sans Symbols" w:cs="Noto Sans Symbols" w:eastAsia="Noto Sans Symbols" w:hAnsi="Noto Sans Symbols"/>
      </w:rPr>
    </w:lvl>
    <w:lvl w:ilvl="7">
      <w:start w:val="1"/>
      <w:numFmt w:val="lowerLetter"/>
      <w:lvlText w:val="%8."/>
      <w:lvlJc w:val="left"/>
      <w:pPr>
        <w:ind w:left="3499" w:hanging="360"/>
      </w:pPr>
      <w:rPr>
        <w:rFonts w:ascii="Noto Sans Symbols" w:cs="Noto Sans Symbols" w:eastAsia="Noto Sans Symbols" w:hAnsi="Noto Sans Symbols"/>
      </w:rPr>
    </w:lvl>
    <w:lvl w:ilvl="8">
      <w:start w:val="1"/>
      <w:numFmt w:val="lowerRoman"/>
      <w:lvlText w:val="%9."/>
      <w:lvlJc w:val="right"/>
      <w:pPr>
        <w:ind w:left="385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4" w:hanging="565"/>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bidi w:val="0"/>
      <w:spacing w:after="0" w:before="0"/>
      <w:jc w:val="left"/>
    </w:pPr>
    <w:rPr>
      <w:rFonts w:ascii="Arial MT" w:cs="Arial MT" w:eastAsia="Arial MT" w:hAnsi="Arial MT"/>
      <w:color w:val="auto"/>
      <w:kern w:val="0"/>
      <w:sz w:val="22"/>
      <w:szCs w:val="22"/>
      <w:lang w:bidi="ar-SA" w:eastAsia="en-US" w:val="es-ES"/>
    </w:rPr>
  </w:style>
  <w:style w:type="paragraph" w:styleId="Heading1">
    <w:name w:val="Heading 1"/>
    <w:basedOn w:val="Normal"/>
    <w:link w:val="Heading1Char"/>
    <w:uiPriority w:val="9"/>
    <w:qFormat w:val="1"/>
    <w:pPr>
      <w:ind w:left="824" w:hanging="565"/>
      <w:outlineLvl w:val="0"/>
    </w:pPr>
    <w:rPr>
      <w:rFonts w:ascii="Arial" w:cs="Arial" w:eastAsia="Arial" w:hAnsi="Arial"/>
      <w:b w:val="1"/>
      <w:bCs w:val="1"/>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CD2091"/>
    <w:rPr>
      <w:rFonts w:ascii="Arial" w:cs="Arial" w:eastAsia="Arial" w:hAnsi="Arial"/>
      <w:b w:val="1"/>
      <w:bCs w:val="1"/>
      <w:lang w:val="es-ES"/>
    </w:rPr>
  </w:style>
  <w:style w:type="character" w:styleId="InternetLink">
    <w:name w:val="Hyperlink"/>
    <w:rPr>
      <w:color w:val="000080"/>
      <w:u w:val="single"/>
      <w:lang w:bidi="zxx" w:eastAsia="zxx" w:val="zxx"/>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uiPriority w:val="1"/>
    <w:qFormat w:val="1"/>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1"/>
    <w:qFormat w:val="1"/>
    <w:pPr>
      <w:ind w:left="1093" w:hanging="360"/>
    </w:pPr>
    <w:rPr/>
  </w:style>
  <w:style w:type="paragraph" w:styleId="TableParagraph" w:customStyle="1">
    <w:name w:val="Table Paragraph"/>
    <w:basedOn w:val="Normal"/>
    <w:uiPriority w:val="1"/>
    <w:qFormat w:val="1"/>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0F03E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ejwxi0Jv74+H59TzNntocNQNtA==">CgMxLjA4AHIhMTVkOGNhS2NpWnNydDZ0dS03bWh1NzhzTGdTdTVQV3F4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2025-03-12T20:08:00Z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2024-03-06T00:00:00Z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2025-03-12T00:00:00Z</vt:filetime>
  </property>
  <property fmtid="{D5CDD505-2E9C-101B-9397-08002B2CF9AE}" pid="7" name="LinksUpToDate">
    <vt:bool>false</vt:bool>
  </property>
  <property fmtid="{D5CDD505-2E9C-101B-9397-08002B2CF9AE}" pid="8" name="Producer">
    <vt:lpwstr>macOS Versión 14.2.1 (Compilación 23C71) Quartz PDFContext</vt:lpwstr>
  </property>
  <property fmtid="{D5CDD505-2E9C-101B-9397-08002B2CF9AE}" pid="9" name="ScaleCrop">
    <vt:bool>false</vt:bool>
  </property>
  <property fmtid="{D5CDD505-2E9C-101B-9397-08002B2CF9AE}" pid="10" name="ShareDoc">
    <vt:bool>false</vt:bool>
  </property>
</Properties>
</file>