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77" w:lineRule="auto"/>
        <w:ind w:left="2258" w:right="2156" w:firstLine="661.9999999999999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color w:val="000009"/>
          <w:sz w:val="20"/>
          <w:szCs w:val="20"/>
          <w:rtl w:val="0"/>
        </w:rPr>
        <w:t xml:space="preserve">Facultad de Ingeniería y Ciencias Escuela de Informática y Telecomunicaciones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252" w:lineRule="auto"/>
        <w:ind w:left="0" w:right="45" w:firstLine="0"/>
        <w:jc w:val="center"/>
        <w:rPr>
          <w:sz w:val="20"/>
          <w:szCs w:val="20"/>
        </w:rPr>
      </w:pPr>
      <w:r w:rsidDel="00000000" w:rsidR="00000000" w:rsidRPr="00000000">
        <w:rPr>
          <w:color w:val="000009"/>
          <w:sz w:val="20"/>
          <w:szCs w:val="20"/>
          <w:rtl w:val="0"/>
        </w:rPr>
        <w:t xml:space="preserve">PROGRAMA DE ASIGNATURA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1" w:lineRule="auto"/>
        <w:ind w:left="3" w:right="45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color w:val="000009"/>
          <w:sz w:val="20"/>
          <w:szCs w:val="20"/>
          <w:rtl w:val="0"/>
        </w:rPr>
        <w:t xml:space="preserve">Criptografía y seguridad en redes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3"/>
        </w:numPr>
        <w:tabs>
          <w:tab w:val="left" w:leader="none" w:pos="826"/>
        </w:tabs>
        <w:ind w:left="826" w:hanging="42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Identificación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63.0" w:type="dxa"/>
        <w:jc w:val="left"/>
        <w:tblInd w:w="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2"/>
        <w:gridCol w:w="4331"/>
        <w:tblGridChange w:id="0">
          <w:tblGrid>
            <w:gridCol w:w="4332"/>
            <w:gridCol w:w="4331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Nombre de la Asignatura: Criptografía y Seguridad en redes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Códigos: </w:t>
            </w:r>
            <w:r w:rsidDel="00000000" w:rsidR="00000000" w:rsidRPr="00000000">
              <w:rPr>
                <w:b w:val="0"/>
                <w:color w:val="000009"/>
                <w:sz w:val="20"/>
                <w:szCs w:val="20"/>
                <w:rtl w:val="0"/>
              </w:rPr>
              <w:t xml:space="preserve">CIT-2413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Créditos: 5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Duración: Semestral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Ubicación en el plan de estudios: Semestre 8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Requisitos: CIT-2408 Taller de redes y servicios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Sesiones cátedras semanales: 2 cátedras, 1 laboratorio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1"/>
              <w:tabs>
                <w:tab w:val="left" w:leader="none" w:pos="669"/>
              </w:tabs>
              <w:ind w:lef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Sesiones de Ayudantía: 1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3"/>
        </w:numPr>
        <w:tabs>
          <w:tab w:val="left" w:leader="none" w:pos="826"/>
        </w:tabs>
        <w:ind w:left="826" w:hanging="42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Descripción del curso</w:t>
      </w:r>
    </w:p>
    <w:p w:rsidR="00000000" w:rsidDel="00000000" w:rsidP="00000000" w:rsidRDefault="00000000" w:rsidRPr="00000000" w14:paraId="00000015">
      <w:pPr>
        <w:pStyle w:val="Heading1"/>
        <w:tabs>
          <w:tab w:val="left" w:leader="none" w:pos="826"/>
        </w:tabs>
        <w:ind w:left="82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Resulta esencial el poder identificar eventuales fallas de seguridad existentes en los sistemas informáticos o en las redes de datos empresariales, considerando tanto aspectos técnicos como los marcos legales y regulatorios de seguridad de la información. Así también, se debe poder proveer soluciones tecnológicamente factibles y eficientes para asegurar la confidencialidad de la información, la invulnerabilidad de las redes.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este contexto, este curso entrega las herramientas necesarias para desarrollar de manera apropiada estas tareas, integrando no solo estrategias técnicas y metodologías de seguridad, sino también el conocimiento y aplicación de normativas y regulaciones que rigen la protección de la información y la seguridad informática esperado por la industria.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tabs>
          <w:tab w:val="left" w:leader="none" w:pos="824"/>
        </w:tabs>
        <w:ind w:left="824" w:hanging="42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Resultados de aprendizaje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Diseñar medidas de protección y seguridad de la información en medios electrónicos de intercambio de información, para aplicarlos en servicios tales como páginas web, evaluando su performance.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Evaluar el desempeño y limitantes de protocolos, esquemas de seguridad, métodos de autenticación y gestión de claves en sistemas informáticos y redes de datos, para diseñar sistemas integrales de seguridad de datos.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Aplicar técnicas criptográficas adecuadas en criptosistemas de clave pública, criptosistemas de clave privada y cifradores de flujo, para así estimar métricas comparadas de funcionamiento en términos de robustez y uso de recursos.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Aplicar métodos y algoritmos criptográficos clásicos y modernos, para evaluar la performance comparada mediante mediciones o simulación grupal de sistemas de encriptación de datos, documentando así el desempeño de los algoritmos bajo análisis.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Comprender y aplicar marcos normativos de seguridad de la información, que permitan cumplir las expectativas regulatorias y de desempeño esperado por la industria.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3"/>
        </w:numPr>
        <w:tabs>
          <w:tab w:val="left" w:leader="none" w:pos="825"/>
        </w:tabs>
        <w:ind w:left="825" w:hanging="42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Unidades Temáticas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1080" w:right="25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Unidad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 Introducción: Conceptos fundamentales, confidencialidad, integridad y disponibilidad de la información, amenazas y métodos de defensa, terminología, componentes y tipos de criptosistemas, NIST e ISO/IEC 27001.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1080" w:right="25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Unidad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Criptografía clásica: Introducción a los criptosistemas clásicos, métodos de cifra monográmica por sustitución, métodos de cifra monográmica por transposición, métodos de cifra poligrámica.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1080" w:right="25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Criptosistemas de clave privada: Generalidades sobre sistema de clave secreta, algoritmos de Encriptación Simétrica (DES, 3DES, AES), otros cifrados de bloque y flujo. Modos de encriptación (ECB, CBC, CFB, CTR, GCM).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1080" w:right="25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Criptosistemas de clave pública: Introducción a la cifra con clave pública, protocolo de Diffie y Hellman para el intercambio de claves, cifrador de mochila de Merkle- Hellman, cifrado exponencial RSA, curvas elípticas. Introducción a algoritmos post-cuánticos.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1080" w:right="25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Unidad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Funciones de autenticación: El problema de la integridad y autenticación, autenticación de mensajes con sistemas simétricos y asimétricos, firma digital con algoritmos RSA y EC, funciones hash SHA, RIPEMD-160, Bcrypt. ISO/IEC 10118-3.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1080" w:right="25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Seguridad en redes: El programa PGP (Pretty Good Privacy), autenticidad de correos electrónicos, certificación y entidades certificadoras, TLS y DTLS.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1080" w:right="25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Protocolos criptográficos: Implementación de protocolos seguros en servicios y análisis de protocolos criptográficos a partir del tráfico de red.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1080" w:right="25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Unidad 4: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 Brechas de Seguridad: Se presentarán configuraciones vulnerables relacionadas a implementaciones de servicios web, y sus contramedidas. Asimismo, se introducirán ataques informáticos relacionados a brechas en sistemas de cifrado de llave simétrica y asimétrica, como también en sistemas de autenticación.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1080" w:right="25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highlight w:val="yellow"/>
          <w:u w:val="none"/>
          <w:vertAlign w:val="baseline"/>
          <w:rtl w:val="0"/>
        </w:rPr>
        <w:t xml:space="preserve">Aspectos legales de seguridad de la información: Regulaciones y normativas aplicables en ciberseguridad y protección de datos, incluyendo la Ley 21.663 Marco de Ciberseguridad, la Ley 21.459 de delitos informáticos, la Ley 21.719 de Protección y Tratamiento de Datos Personales, y la Ley 19799 de Firma Electrónica en Chile.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0" w:line="240" w:lineRule="auto"/>
        <w:ind w:left="761" w:right="25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</w:tabs>
        <w:spacing w:after="0" w:before="55" w:line="240" w:lineRule="auto"/>
        <w:ind w:left="826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general del método de enseñanza: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contemplan clases, combinando –a lo largo del semestre- 2 sesiones de carácter expositivo (basadas en presentaciones electrónicas, con apoyo adicional de pizarrón, y/o contenido audiovisual) con 1 sesión de trabajo en laboratorio donde se realizarán talleres interactivos. Esto será complementado con lectura de textos y material adicional, para la realización de tareas, laboratorios o trabajos de investigación, permitiendo desarrollar habilidades relacionadas con el autoaprendizaje continuo.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realizará un mínimo de 5 laboratorios, talleres interactivos o defensa de casos.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fomentará la evaluación del conocimiento adquirido, el nivel de comprensión, la capacidad de análisis, síntesis, y aplicación. Esto será medido a través de trabajos periódicos, evaluaciones al finalizar cada campo de conocimiento más dos pruebas solemnes, junto a un examen final escrito en la hora y día que establezca la Dirección de la Escuela.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fomentará también el desarrollo de habilidades relacionadas con la expresión oral y escrita, así como de trabajo grupal y procesamiento de datos medidos, a partir de la realización de presentaciones orales, prácticas de laboratorio (con sus respectivos informes) . Esto se evaluará mediante presentaciones orales y en la evaluación de informes escritos (laboratorios, tareas, trabajos).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826" w:right="0" w:hanging="42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general de la modalidad de evaluación: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82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realizarán prácticos de laboratorio, evaluaciones de campo de conocimiento, dos pruebas solemnes y un examen final.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experiencias de laboratorio serán evaluadas mediante informes. Para aprobar la asignatura se debe haber aprobado las experiencias de laboratorio (nota promedio igual o superior a 4.0), donde la asistencia al 100% de las experiencias es una condición necesaria, pero no suficiente. En caso contrario, reprobará la asignatura con nota final igual al promedio de sus experiencias de laboratorio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Podrá eximirse el/la estudiante cuya nota de presentación sea igual o superior a 5.0, que haya rendido todas sus evaluaciones de acuerdo al item “nota de presentación” definido más arriba.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3"/>
        </w:numPr>
        <w:tabs>
          <w:tab w:val="left" w:leader="none" w:pos="824"/>
        </w:tabs>
        <w:ind w:left="824" w:hanging="423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Bibliografía Básica Obligatoria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1"/>
        </w:tabs>
        <w:spacing w:after="0" w:before="0" w:line="240" w:lineRule="auto"/>
        <w:ind w:left="621" w:right="26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Bruce Schneier; Applied Cryptography: Protocols, Algorithms, and Source Code in C. 2nd Edition, John Wiley &amp; Sons, 2015.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1"/>
        </w:tabs>
        <w:spacing w:after="0" w:before="1" w:line="240" w:lineRule="auto"/>
        <w:ind w:left="621" w:right="258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Cristof Paar, Jan Pelzl; Understanding Cryptography: A Textbook for Students and Practitioners,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Ed., Springer, 2010.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1"/>
        </w:tabs>
        <w:spacing w:after="0" w:before="0" w:line="240" w:lineRule="auto"/>
        <w:ind w:left="621" w:right="26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Hans Delfs, Helmut Knebl; Introduction to Cryptography: Principles and Applications (Information Security and Cryptography),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Ed., Springer, 2015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6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Elaborado por: Nicolás Boettcher.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Revisado por: Diego Dujovne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45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Fecha revisión: </w:t>
      </w:r>
      <w:r w:rsidDel="00000000" w:rsidR="00000000" w:rsidRPr="00000000">
        <w:rPr>
          <w:color w:val="000009"/>
          <w:sz w:val="20"/>
          <w:szCs w:val="20"/>
          <w:rtl w:val="0"/>
        </w:rPr>
        <w:t xml:space="preserve">Mayo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 2025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45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0"/>
          <w:szCs w:val="20"/>
          <w:u w:val="none"/>
          <w:shd w:fill="auto" w:val="clear"/>
          <w:vertAlign w:val="baseline"/>
          <w:rtl w:val="0"/>
        </w:rPr>
        <w:t xml:space="preserve">Fecha vigencia: Marzo 202</w:t>
      </w:r>
      <w:r w:rsidDel="00000000" w:rsidR="00000000" w:rsidRPr="00000000">
        <w:rPr>
          <w:color w:val="000009"/>
          <w:sz w:val="20"/>
          <w:szCs w:val="20"/>
          <w:rtl w:val="0"/>
        </w:rPr>
        <w:t xml:space="preserve">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13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21" w:hanging="360"/>
      </w:pPr>
      <w:rPr/>
    </w:lvl>
    <w:lvl w:ilvl="1">
      <w:start w:val="0"/>
      <w:numFmt w:val="bullet"/>
      <w:lvlText w:val="●"/>
      <w:lvlJc w:val="left"/>
      <w:pPr>
        <w:ind w:left="1494" w:hanging="360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368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3242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4116" w:hanging="36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99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864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738" w:hanging="36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612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Roman"/>
      <w:lvlText w:val="%1."/>
      <w:lvlJc w:val="left"/>
      <w:pPr>
        <w:ind w:left="826" w:hanging="427.0000000000001"/>
      </w:pPr>
      <w:rPr>
        <w:b w:val="1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1109" w:hanging="347"/>
      </w:pPr>
      <w:rPr>
        <w:rFonts w:ascii="Arial" w:cs="Arial" w:eastAsia="Arial" w:hAnsi="Arial"/>
      </w:rPr>
    </w:lvl>
    <w:lvl w:ilvl="2">
      <w:start w:val="0"/>
      <w:numFmt w:val="bullet"/>
      <w:lvlText w:val="●"/>
      <w:lvlJc w:val="left"/>
      <w:pPr>
        <w:ind w:left="2017" w:hanging="347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935" w:hanging="347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3853" w:hanging="347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771" w:hanging="347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688" w:hanging="347.0000000000009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606" w:hanging="347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524" w:hanging="347.0000000000009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6" w:hanging="424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bidi w:val="0"/>
      <w:spacing w:after="0" w:before="0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US" w:val="es-ES"/>
    </w:rPr>
  </w:style>
  <w:style w:type="paragraph" w:styleId="Heading1">
    <w:name w:val="Heading 1"/>
    <w:basedOn w:val="Normal"/>
    <w:uiPriority w:val="9"/>
    <w:qFormat w:val="1"/>
    <w:pPr>
      <w:ind w:left="826" w:hanging="424"/>
      <w:outlineLvl w:val="0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rPr>
      <w:color w:val="000080"/>
      <w:u w:val="single"/>
      <w:lang w:bidi="zxx" w:eastAsia="zxx" w:val="zxx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uiPriority w:val="1"/>
    <w:qFormat w:val="1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1"/>
    <w:qFormat w:val="1"/>
    <w:pPr>
      <w:ind w:left="761" w:hanging="360"/>
    </w:pPr>
    <w:rPr/>
  </w:style>
  <w:style w:type="paragraph" w:styleId="TableParagraph" w:customStyle="1">
    <w:name w:val="Table Paragraph"/>
    <w:basedOn w:val="Normal"/>
    <w:uiPriority w:val="1"/>
    <w:qFormat w:val="1"/>
    <w:pPr/>
    <w:rPr/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9545C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v0mcSDEg1znqH2H3QxKTS+QTbg==">CgMxLjA4AHIhMUVVbU1WYXZiV2JvSDZaVDZwU3BndTRXR0xEQmxLRFZI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2025-03-21T15:24:00Z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2022-04-07T00:00:00Z</vt:filetime>
  </property>
  <property fmtid="{D5CDD505-2E9C-101B-9397-08002B2CF9AE}" pid="4" name="Creator">
    <vt:lpwstr>Acrobat PDFMaker 21 for Word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2025-03-21T00:00:00Z</vt:filetime>
  </property>
  <property fmtid="{D5CDD505-2E9C-101B-9397-08002B2CF9AE}" pid="8" name="LinksUpToDate">
    <vt:bool>false</vt:bool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SourceModified">
    <vt:lpwstr>D:20220407153329</vt:lpwstr>
  </property>
</Properties>
</file>