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77" w:lineRule="auto"/>
        <w:ind w:left="2258" w:right="2516" w:firstLine="661.9999999999999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Facultad de Ingeniería y Ciencias Escuela de Informática y Telecomunicaciones</w:t>
      </w:r>
    </w:p>
    <w:p w:rsidR="00000000" w:rsidDel="00000000" w:rsidP="00000000" w:rsidRDefault="00000000" w:rsidRPr="00000000" w14:paraId="00000002">
      <w:pPr>
        <w:spacing w:after="0" w:before="252" w:lineRule="auto"/>
        <w:ind w:right="405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PROGRAMA DE ASIGNATURA</w:t>
      </w:r>
    </w:p>
    <w:p w:rsidR="00000000" w:rsidDel="00000000" w:rsidP="00000000" w:rsidRDefault="00000000" w:rsidRPr="00000000" w14:paraId="00000003">
      <w:pPr>
        <w:spacing w:after="0" w:before="1" w:lineRule="auto"/>
        <w:ind w:left="2" w:right="405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Redes de datos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tabs>
          <w:tab w:val="left" w:leader="none" w:pos="826"/>
        </w:tabs>
        <w:ind w:left="826" w:hanging="42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Identificación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63.0" w:type="dxa"/>
        <w:jc w:val="left"/>
        <w:tblInd w:w="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2"/>
        <w:gridCol w:w="4331"/>
        <w:tblGridChange w:id="0">
          <w:tblGrid>
            <w:gridCol w:w="4332"/>
            <w:gridCol w:w="4331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Nombre de la Asignatura: Redes de Datos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Códigos: </w:t>
            </w:r>
            <w:r w:rsidDel="00000000" w:rsidR="00000000" w:rsidRPr="00000000">
              <w:rPr>
                <w:b w:val="0"/>
                <w:color w:val="000009"/>
                <w:sz w:val="20"/>
                <w:szCs w:val="20"/>
                <w:rtl w:val="0"/>
              </w:rPr>
              <w:t xml:space="preserve">CIT-2414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Créditos: 6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Duración: Semestral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Ubicación en el plan de estudios: Semestre 3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Requisitos: CIT-1110 Programación avanzada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Sesiones cátedras semanales: 2 cátedras, 1 laboratorio</w:t>
            </w:r>
          </w:p>
          <w:p w:rsidR="00000000" w:rsidDel="00000000" w:rsidP="00000000" w:rsidRDefault="00000000" w:rsidRPr="00000000" w14:paraId="00000011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2"/>
        </w:numPr>
        <w:tabs>
          <w:tab w:val="left" w:leader="none" w:pos="827"/>
        </w:tabs>
        <w:spacing w:after="0" w:before="252" w:lineRule="auto"/>
        <w:ind w:left="827" w:hanging="42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Descripción de la asignatura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66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un/una futuro/a Ingeniero/a Civil en Informática y Telecomunicaciones resulta esencial el poder entender, modelar y diseñar un sistema de telecomunicaciones. Esto implica modelar diferentes etapas de la comunicación. Entre ellas, es de relevancia entender la forma en que se interconectan diferentes equipos de manera remota, o cómo se conecta un equipo a Internet. En este contexto, este curso entrega las herramientas necesarias para el diseño e implementación de una red de área local, así como la configuración de los distintos equipos de networking y protocolos. Por lo tanto, este curso tiene como objetivo general el conocer en profundidad las redes LAN, dominando y aplicando los conceptos de las tecnologías de redes de datos (LAN), sus topologías, normas, protocolos y equipamiento.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2"/>
        </w:numPr>
        <w:tabs>
          <w:tab w:val="left" w:leader="none" w:pos="824"/>
        </w:tabs>
        <w:ind w:left="824" w:hanging="42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Resultados de aprendizaje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leader="none" w:pos="981"/>
        </w:tabs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rtl w:val="0"/>
        </w:rPr>
        <w:t xml:space="preserve">Diseña redes de datos utilizando diversas topologías y protocolos de enrutamiento, con el fin de evaluar su funcionalidad y eficiencia.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rtl w:val="0"/>
        </w:rPr>
        <w:t xml:space="preserve">Evalúa el desempeño y las limitaciones de las redes de datos, con el fin de definir, estimar y predecir métricas clave que permitan optimizar su operación y brindar soporte técnico eficiente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rtl w:val="0"/>
        </w:rPr>
        <w:t xml:space="preserve">Realiza mediciones de conectividad y capacidad en redes LAN, o mediante simulaciones grupales, orientadas a estimar parámetros de rendimiento y documentar el desempeño de las redes de datos analizadas.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rtl w:val="0"/>
        </w:rPr>
        <w:t xml:space="preserve">Evalúa el funcionamiento y las aplicaciones de routers y switches LAN bajo diferentes condiciones de configuración, con el objetivo de estimar y comparar métricas de desempeño.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rtl w:val="0"/>
        </w:rPr>
        <w:t xml:space="preserve">Aplica técnicas de segmentación, para mejorar la performance de las redes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sectPr>
          <w:pgSz w:h="15840" w:w="12240" w:orient="portrait"/>
          <w:pgMar w:bottom="280" w:top="1340" w:left="1440" w:right="1080" w:header="0" w:footer="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Participa en equipos de trabajo, planificando, coordinando y ejecutando tareas con liderazgo y responsabilidad, comunicándose efectivamente y elaborando informes técnicos que reflejen procedimientos, resultados y análisis del trabajo realizado.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tabs>
          <w:tab w:val="left" w:leader="none" w:pos="825"/>
        </w:tabs>
        <w:spacing w:after="0" w:before="77" w:lineRule="auto"/>
        <w:ind w:left="825" w:hanging="42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Unidades Temáticas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" w:line="240" w:lineRule="auto"/>
        <w:ind w:left="1602" w:right="619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1: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" w:line="240" w:lineRule="auto"/>
        <w:ind w:left="1602" w:right="619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" w:line="240" w:lineRule="auto"/>
        <w:ind w:left="1602" w:right="61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Definición de una red de datos (networking), sus servicios y componentes. Estudio del modelo de referencia OSI y de arquitectura de protocolos TCP/IP. Funciones y actividades de las principales organizaciones de estándares internacionales de telecomunicaciones.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0" w:lineRule="auto"/>
        <w:ind w:left="1602" w:right="6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 física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Estudio de las principales características y usos de los medios guiados de networking: cable coaxial, par trenzado (blindado, no blindado y apantallado) y fibra óptica (monomodo y multimodo).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252" w:line="240" w:lineRule="auto"/>
        <w:ind w:left="1602" w:right="6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Cableado estructurado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Estándares EIA/TIA-568B, cableado horizontal y vertical, especificaciones de cableado, categorías y conectores (RJ45). Elementos de un armario de telecomunicaciones: patch panels, patch cord, módulo de alimentación eléctrica, barras de puesta a tierra y sistemas de alimentación ininterrumpida (UPS). Uso de herramientas tales como: crimpeadoras RJ45, ponchadoras de cables, pelacables y analizadores de cable. Documentación del cableado de la red de datos basado en mapas de topología física y lógica.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0" w:lineRule="auto"/>
        <w:ind w:left="1602" w:right="6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0" w:lineRule="auto"/>
        <w:ind w:left="1602" w:right="6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Dispositivos de red y topologías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Repetidores, hubs, bridges, switches, routers, topologías de bus, estrella, estrella extendida, anillo, malla, entre otras.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40" w:lineRule="auto"/>
        <w:ind w:left="1601" w:right="6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 de enlace de datos: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tarjeta de interfaz de red (NIC), direcciones MAC, funcionamiento del Protocolo de Resolución de Direcciones (ARP) y del Protocolo de Resolución de Direcciones Inverso (RARP). Protocolo de Mensajes de Control en Internet (ICMP). Mecanismos de control de acceso al medio: ALOHA, CSMA p- persistente, CSMA/CD, CSMA/CA.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40" w:lineRule="auto"/>
        <w:ind w:left="1601" w:right="6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Switches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Descripción general de la conmutación y sus ventajas. Segmentación de una red LAN. Protocolo de Árbol de Expansión (STP), ventajas y funcionamiento. LAN Virtual (VLAN), descripción general de una VLAN y sus ventajas. Proceso de transporte de las VLAN a través de backbones, ruteo entre VLANs, VLAN estáticas, VLAN dinámicas.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40" w:lineRule="auto"/>
        <w:ind w:left="1601" w:right="6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Estándares 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Estándares LAN Ethernet e IEEE 802.3, las LAN y la capa física, las LAN y la capa de enlace de datos, funcionamiento de Ethernet 802.3, broadcast Ethernet 802.3, la LAN y la capa de red.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40" w:lineRule="auto"/>
        <w:ind w:left="1601" w:right="6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40" w:lineRule="auto"/>
        <w:ind w:left="1601" w:right="61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Direccionamiento IPv4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Protocolo IPv4, cabecera IPv4. Conceptos generales sobre el direccionamiento IPv4 direcciones reservadas, máscara de red, clase de direcciones IPv4. Direcciones IPv4 públicas y privadas. Técnicas de división de red IPv4 en subredes (subnetting) usando máscara de subred de tamaño fijo y máscara de subred de tamaño variable (VLSM). Direcciones IPv4 reservadas en una subred (identificación y broadcast de la subred). Protocolo de Configuración Dinámica de Host (DHCP) y su funcionamiento. Enrutamiento Interdominio sin Clase (CIDR). Traducción de dirección de red (NAT). Listas de control de acceso (ACL).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0" w:lineRule="auto"/>
        <w:ind w:left="1602" w:right="6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 de red y enrutamiento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Conceptos, sistemas autónomos, protocolos de enrutamiento, métricas, rutas estáticas y rutas dinámicas, distancia administrativa, algoritmo de enrutamiento por vector distancia, algoritmos de enrutamiento por estado de enlace, protocolos de enrutamiento RIP, IGRP, EGIRP y OSPF.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0" w:lineRule="auto"/>
        <w:ind w:left="1602" w:right="6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0" w:lineRule="auto"/>
        <w:ind w:left="1602" w:right="6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 de transporte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funciones de la capa de transporte, propiedades de los protocolos de transporte (TCP y UDP), socket, número de puerto, intercambio de señales de tres vías, control de flujo, control de congestión, ventanas deslizantes y partida lenta en TCP.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0" w:hanging="42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general del método de enseñanza: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66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Se contemplan dos clases semanales de cátedra, mezclando –a lo largo del semestre- sesiones de carácter expositivo (basadas en presentaciones electrónicas, con apoyo adicional de pizarrón, y/o contenido audiovisual) con sesiones de trabajo donde se realizarán tanto talleres interactivos y como de sesiones de ayudantía. Esto será complementado con lectura de textos y material adicional, para la realización de tareas, laboratorios o trabajos de investigación, permitiendo desarrollar habilidades relacionadas con el autoaprendizaje continuo. En especial, los estudiantes abordarán las temáticas asociadas directamente al Hardware “Capa Física” y “Cableado Estructurado” en sesiones prácticas de Laboratorio.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261" w:right="664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Se fomentará la evaluación del conocimiento adquirido, el nivel de comprensión, la capacidad de análisis, síntesis, y aplicación. Esto será medido a través de controles periódicos más dos pruebas solemnes y un examen final escrito en la hora y día que establezca la Dirección de la Escuela.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664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Se fomentará también el desarrollo de habilidades relacionadas con la expresión oral y escrita, así como de trabajo grupal y procesamiento de datos medidos, a partir de la realización de presentaciones orales, prácticas de laboratorio (con sus respectivos informes) y trabajos de investigación. Esto se evaluará mediante presentaciones orales y en la evaluación de informes escritos (laboratorios, tareas, trabajos).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0" w:hanging="42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general del método de evaluación: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619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Se realizarán controles parciales, al menos 4 prácticas de laboratorio, dos pruebas solemnes y un examen final.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261" w:right="618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440" w:right="1080" w:header="0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Las experiencias de laboratorio serán evaluadas mediante un control y el informe correspondiente. Para aprobar la asignatura el/la estudiante DEBE haber aprobado el laboratorio (nota promedio de igual o superior a 4.0), donde la asistencia al 100% de las experiencias es una condición necesaria, pero no suficiente. En caso contrario, el/la estudiante reprobará la asignatura con nota final igual al mínimo entre el promedio de sus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2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experiencias de laboratorio y 3.9.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2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 de Presentación = (30% Solemne 1 + 30% Solemne 2 + 30% Nota Laboratorio +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10% Notas Parciales)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 Final= 70% Nota de Presentación + 30% Examen.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261" w:right="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Podrán eximirse el/la estudiante cuya nota de presentación sea superior a 5.0, que hayan rendido todas sus evaluaciones.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2"/>
        </w:numPr>
        <w:tabs>
          <w:tab w:val="left" w:leader="none" w:pos="825"/>
        </w:tabs>
        <w:ind w:left="825" w:hanging="42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Bibliografía Básica Obligatoria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1"/>
        </w:tabs>
        <w:spacing w:after="0" w:before="0" w:line="240" w:lineRule="auto"/>
        <w:ind w:left="621" w:right="61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Andrew S. Tanenbaum y David J. Wetherall.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Redes de computadoras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5ta Ed., Pearson Educación, 2012.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5794375" cy="268986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3940" y="2440080"/>
                          <a:ext cx="5784120" cy="267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.99999904632568" w:line="240"/>
                              <w:ind w:left="143.00000190734863" w:right="0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PAUTAS ETICAS BASICAS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91.00000381469727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00000190734863" w:right="145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El aula es un espacio donde los intercambios buscan generar un clima que potencie el aprendizaje, basado en el respeto y el buen trato. Las diferencias, tanto entre estudiantes, como entre estudiante y docentes, deben abordarse desde este marco de respeto.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00000190734863" w:right="0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La universidad cuenta con dos reglamentos importantes de conocer: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4.000000953674316" w:line="240"/>
                              <w:ind w:left="703.0000305175781" w:right="0" w:firstLine="502.99999237060547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Reglamento de Convivencia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0.999999046325684" w:line="240"/>
                              <w:ind w:left="703.0000305175781" w:right="0" w:firstLine="502.99999237060547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Normativa de Prevención y Sanción de Acciones de Discriminación, Violencia Sexual y/o de Género.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82.99999237060547" w:line="240"/>
                              <w:ind w:left="143.00000190734863" w:right="0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Puedes consultar los reglamentos aquí: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ff"/>
                                <w:sz w:val="16"/>
                                <w:u w:val="single"/>
                                <w:vertAlign w:val="baseline"/>
                              </w:rPr>
                              <w:t xml:space="preserve">https://www.udp.cl/universidad/reglamentos-y-politicas/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82.99999237060547" w:line="240"/>
                              <w:ind w:left="143.00000190734863" w:right="145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El plagio es el uso de las ideas o trabajo de otra persona sin el adecuado consentimiento. El plagio puede ser intencional o no. El plagio intencional es el claro intento de hacer pasar el trabajo o ideas ajenas como el suyo propio para su beneficio. El plagio no intencional puede ocurrir si Ud. no conoce el mecanismo adecuado de referenciar la fuente de sus ideas e información. Si no está seguro de los métodos aceptados para referenciar, debería consultar con su profesor, tutor o personal de biblioteca.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93.00000190734863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00000190734863" w:right="145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El plagio comprobado es una actitud que puede resultar en severas sanciones disciplinarias y/o en la exclusión de la Universidad (Artículo 44, Reglamento del Estudiante de Pregrado).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5794375" cy="2689860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4375" cy="2689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25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Elaborado por: Nicolás Hidalgo, Diego Dujovne y Jaime Álvarez.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25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Revisado por: Diego Dujovne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61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revisión: Marzo 2025 Fecha vigencia: Marzo 2025</w:t>
      </w:r>
    </w:p>
    <w:sectPr>
      <w:type w:val="nextPage"/>
      <w:pgSz w:h="15840" w:w="12240" w:orient="portrait"/>
      <w:pgMar w:bottom="280" w:top="1340" w:left="1440" w:right="108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21" w:hanging="360"/>
      </w:pPr>
      <w:rPr>
        <w:b w:val="0"/>
        <w:i w:val="0"/>
        <w:sz w:val="22"/>
        <w:szCs w:val="22"/>
      </w:rPr>
    </w:lvl>
    <w:lvl w:ilvl="1">
      <w:start w:val="0"/>
      <w:numFmt w:val="bullet"/>
      <w:lvlText w:val="●"/>
      <w:lvlJc w:val="left"/>
      <w:pPr>
        <w:ind w:left="1530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44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35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260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517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608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990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9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826" w:hanging="427.0000000000001"/>
      </w:pPr>
      <w:rPr>
        <w:b w:val="1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1109" w:hanging="347"/>
      </w:pPr>
      <w:rPr>
        <w:rFonts w:ascii="Arial" w:cs="Arial" w:eastAsia="Arial" w:hAnsi="Arial"/>
      </w:rPr>
    </w:lvl>
    <w:lvl w:ilvl="2">
      <w:start w:val="0"/>
      <w:numFmt w:val="bullet"/>
      <w:lvlText w:val="●"/>
      <w:lvlJc w:val="left"/>
      <w:pPr>
        <w:ind w:left="2057" w:hanging="347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015" w:hanging="347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973" w:hanging="347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931" w:hanging="347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888" w:hanging="347.0000000000009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846" w:hanging="347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804" w:hanging="347.0000000000009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5" w:hanging="426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9"/>
    <w:qFormat w:val="1"/>
    <w:pPr>
      <w:ind w:left="825" w:hanging="426"/>
      <w:outlineLvl w:val="0"/>
    </w:pPr>
    <w:rPr>
      <w:rFonts w:ascii="Arial" w:cs="Arial" w:eastAsia="Arial" w:hAnsi="Arial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Caption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ind w:left="981" w:hanging="360"/>
    </w:pPr>
    <w:rPr/>
  </w:style>
  <w:style w:type="paragraph" w:styleId="TableParagraph" w:customStyle="1">
    <w:name w:val="Table Paragraph"/>
    <w:basedOn w:val="Normal"/>
    <w:uiPriority w:val="1"/>
    <w:qFormat w:val="1"/>
    <w:pPr/>
    <w:rPr/>
  </w:style>
  <w:style w:type="paragraph" w:styleId="FrameContents" w:customStyle="1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31508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gnld3sMllRegMS6cfb9Vgvbocw==">CgMxLjA4AHIhMVJDV0ExTUNuaVdjRVptQ0VZdF9ZZEpjRm1pSmpyeDRN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2025-03-12T20:08:00Z</dcterms:created>
  <dc:creator>Loreto Montenegro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2022-04-07T00:00:00Z</vt:filetime>
  </property>
  <property fmtid="{D5CDD505-2E9C-101B-9397-08002B2CF9AE}" pid="4" name="Creator">
    <vt:lpwstr>Acrobat PDFMaker 21 for Word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2025-03-12T00:00:00Z</vt:filetime>
  </property>
  <property fmtid="{D5CDD505-2E9C-101B-9397-08002B2CF9AE}" pid="8" name="LinksUpToDate">
    <vt:bool>false</vt:bool>
  </property>
  <property fmtid="{D5CDD505-2E9C-101B-9397-08002B2CF9AE}" pid="9" name="Producer">
    <vt:lpwstr>Adobe PDF Library 21.1.174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ourceModified">
    <vt:lpwstr>D:20220407153328</vt:lpwstr>
  </property>
</Properties>
</file>