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67" w:lineRule="auto"/>
        <w:ind w:left="2262" w:right="2147" w:firstLine="666.9999999999999"/>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Facultad de Ingeniería y Ciencias Escuela de Informática y Telecomunicaciones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ind w:right="22"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PROGRAMA DE ASIGNATURA</w:t>
      </w:r>
    </w:p>
    <w:p w:rsidR="00000000" w:rsidDel="00000000" w:rsidP="00000000" w:rsidRDefault="00000000" w:rsidRPr="00000000" w14:paraId="00000004">
      <w:pPr>
        <w:spacing w:after="0" w:before="1" w:lineRule="auto"/>
        <w:ind w:right="22"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Redes Avanzadas y Seguridad de Información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837"/>
        </w:tabs>
        <w:ind w:left="837" w:hanging="427"/>
        <w:rPr>
          <w:sz w:val="20"/>
          <w:szCs w:val="20"/>
        </w:rPr>
      </w:pPr>
      <w:r w:rsidDel="00000000" w:rsidR="00000000" w:rsidRPr="00000000">
        <w:rPr>
          <w:sz w:val="20"/>
          <w:szCs w:val="20"/>
          <w:rtl w:val="0"/>
        </w:rPr>
        <w:t xml:space="preserve">Identificación</w:t>
      </w:r>
    </w:p>
    <w:p w:rsidR="00000000" w:rsidDel="00000000" w:rsidP="00000000" w:rsidRDefault="00000000" w:rsidRPr="00000000" w14:paraId="00000009">
      <w:pPr>
        <w:pStyle w:val="Heading1"/>
        <w:tabs>
          <w:tab w:val="left" w:leader="none" w:pos="837"/>
        </w:tabs>
        <w:rPr>
          <w:sz w:val="20"/>
          <w:szCs w:val="20"/>
        </w:rPr>
      </w:pPr>
      <w:r w:rsidDel="00000000" w:rsidR="00000000" w:rsidRPr="00000000">
        <w:rPr>
          <w:rtl w:val="0"/>
        </w:rPr>
      </w:r>
    </w:p>
    <w:tbl>
      <w:tblPr>
        <w:tblStyle w:val="Table1"/>
        <w:tblW w:w="8663.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2"/>
        <w:gridCol w:w="4331"/>
        <w:tblGridChange w:id="0">
          <w:tblGrid>
            <w:gridCol w:w="4332"/>
            <w:gridCol w:w="4331"/>
          </w:tblGrid>
        </w:tblGridChange>
      </w:tblGrid>
      <w:tr>
        <w:trPr>
          <w:cantSplit w:val="0"/>
          <w:trHeight w:val="293" w:hRule="atLeast"/>
          <w:tblHeader w:val="0"/>
        </w:trPr>
        <w:tc>
          <w:tcPr>
            <w:gridSpan w:val="2"/>
          </w:tcPr>
          <w:p w:rsidR="00000000" w:rsidDel="00000000" w:rsidP="00000000" w:rsidRDefault="00000000" w:rsidRPr="00000000" w14:paraId="0000000A">
            <w:pPr>
              <w:pStyle w:val="Heading1"/>
              <w:tabs>
                <w:tab w:val="left" w:leader="none" w:pos="669"/>
              </w:tabs>
              <w:ind w:left="0" w:firstLine="0"/>
              <w:rPr>
                <w:b w:val="0"/>
                <w:sz w:val="20"/>
                <w:szCs w:val="20"/>
              </w:rPr>
            </w:pPr>
            <w:r w:rsidDel="00000000" w:rsidR="00000000" w:rsidRPr="00000000">
              <w:rPr>
                <w:b w:val="0"/>
                <w:sz w:val="20"/>
                <w:szCs w:val="20"/>
                <w:rtl w:val="0"/>
              </w:rPr>
              <w:t xml:space="preserve">Nombre de la Asignatura: Redes Avanzadas y Seguridad de Información</w:t>
            </w:r>
          </w:p>
        </w:tc>
      </w:tr>
      <w:tr>
        <w:trPr>
          <w:cantSplit w:val="0"/>
          <w:trHeight w:val="293" w:hRule="atLeast"/>
          <w:tblHeader w:val="0"/>
        </w:trPr>
        <w:tc>
          <w:tcPr/>
          <w:p w:rsidR="00000000" w:rsidDel="00000000" w:rsidP="00000000" w:rsidRDefault="00000000" w:rsidRPr="00000000" w14:paraId="0000000C">
            <w:pPr>
              <w:pStyle w:val="Heading1"/>
              <w:tabs>
                <w:tab w:val="left" w:leader="none" w:pos="669"/>
              </w:tabs>
              <w:ind w:left="0" w:firstLine="0"/>
              <w:rPr>
                <w:b w:val="0"/>
                <w:sz w:val="20"/>
                <w:szCs w:val="20"/>
              </w:rPr>
            </w:pPr>
            <w:r w:rsidDel="00000000" w:rsidR="00000000" w:rsidRPr="00000000">
              <w:rPr>
                <w:b w:val="0"/>
                <w:sz w:val="20"/>
                <w:szCs w:val="20"/>
                <w:rtl w:val="0"/>
              </w:rPr>
              <w:t xml:space="preserve">Códigos: </w:t>
            </w:r>
            <w:r w:rsidDel="00000000" w:rsidR="00000000" w:rsidRPr="00000000">
              <w:rPr>
                <w:b w:val="0"/>
                <w:color w:val="000009"/>
                <w:sz w:val="20"/>
                <w:szCs w:val="20"/>
                <w:rtl w:val="0"/>
              </w:rPr>
              <w:t xml:space="preserve">CIT-3600</w:t>
            </w:r>
            <w:r w:rsidDel="00000000" w:rsidR="00000000" w:rsidRPr="00000000">
              <w:rPr>
                <w:rtl w:val="0"/>
              </w:rPr>
            </w:r>
          </w:p>
        </w:tc>
        <w:tc>
          <w:tcPr/>
          <w:p w:rsidR="00000000" w:rsidDel="00000000" w:rsidP="00000000" w:rsidRDefault="00000000" w:rsidRPr="00000000" w14:paraId="0000000D">
            <w:pPr>
              <w:pStyle w:val="Heading1"/>
              <w:tabs>
                <w:tab w:val="left" w:leader="none" w:pos="669"/>
              </w:tabs>
              <w:ind w:left="0" w:firstLine="0"/>
              <w:rPr>
                <w:b w:val="0"/>
                <w:sz w:val="20"/>
                <w:szCs w:val="20"/>
              </w:rPr>
            </w:pPr>
            <w:r w:rsidDel="00000000" w:rsidR="00000000" w:rsidRPr="00000000">
              <w:rPr>
                <w:b w:val="0"/>
                <w:sz w:val="20"/>
                <w:szCs w:val="20"/>
                <w:rtl w:val="0"/>
              </w:rPr>
              <w:t xml:space="preserve">Créditos: 6</w:t>
            </w:r>
          </w:p>
        </w:tc>
      </w:tr>
      <w:tr>
        <w:trPr>
          <w:cantSplit w:val="0"/>
          <w:trHeight w:val="293" w:hRule="atLeast"/>
          <w:tblHeader w:val="0"/>
        </w:trPr>
        <w:tc>
          <w:tcPr/>
          <w:p w:rsidR="00000000" w:rsidDel="00000000" w:rsidP="00000000" w:rsidRDefault="00000000" w:rsidRPr="00000000" w14:paraId="0000000E">
            <w:pPr>
              <w:pStyle w:val="Heading1"/>
              <w:tabs>
                <w:tab w:val="left" w:leader="none" w:pos="669"/>
              </w:tabs>
              <w:ind w:left="0" w:firstLine="0"/>
              <w:rPr>
                <w:b w:val="0"/>
                <w:sz w:val="20"/>
                <w:szCs w:val="20"/>
              </w:rPr>
            </w:pPr>
            <w:r w:rsidDel="00000000" w:rsidR="00000000" w:rsidRPr="00000000">
              <w:rPr>
                <w:b w:val="0"/>
                <w:sz w:val="20"/>
                <w:szCs w:val="20"/>
                <w:rtl w:val="0"/>
              </w:rPr>
              <w:t xml:space="preserve">Duración: Semestral</w:t>
            </w:r>
          </w:p>
        </w:tc>
        <w:tc>
          <w:tcPr/>
          <w:p w:rsidR="00000000" w:rsidDel="00000000" w:rsidP="00000000" w:rsidRDefault="00000000" w:rsidRPr="00000000" w14:paraId="0000000F">
            <w:pPr>
              <w:pStyle w:val="Heading1"/>
              <w:tabs>
                <w:tab w:val="left" w:leader="none" w:pos="669"/>
              </w:tabs>
              <w:ind w:left="0" w:firstLine="0"/>
              <w:rPr>
                <w:b w:val="0"/>
                <w:sz w:val="20"/>
                <w:szCs w:val="20"/>
              </w:rPr>
            </w:pPr>
            <w:r w:rsidDel="00000000" w:rsidR="00000000" w:rsidRPr="00000000">
              <w:rPr>
                <w:b w:val="0"/>
                <w:sz w:val="20"/>
                <w:szCs w:val="20"/>
                <w:rtl w:val="0"/>
              </w:rPr>
              <w:t xml:space="preserve">Ubicación en el plan de estudios: Semestre 9</w:t>
            </w:r>
          </w:p>
        </w:tc>
      </w:tr>
      <w:tr>
        <w:trPr>
          <w:cantSplit w:val="0"/>
          <w:trHeight w:val="293" w:hRule="atLeast"/>
          <w:tblHeader w:val="0"/>
        </w:trPr>
        <w:tc>
          <w:tcPr>
            <w:gridSpan w:val="2"/>
          </w:tcPr>
          <w:p w:rsidR="00000000" w:rsidDel="00000000" w:rsidP="00000000" w:rsidRDefault="00000000" w:rsidRPr="00000000" w14:paraId="00000010">
            <w:pPr>
              <w:pStyle w:val="Heading1"/>
              <w:tabs>
                <w:tab w:val="left" w:leader="none" w:pos="669"/>
              </w:tabs>
              <w:ind w:left="0" w:firstLine="0"/>
              <w:rPr>
                <w:b w:val="0"/>
                <w:sz w:val="20"/>
                <w:szCs w:val="20"/>
              </w:rPr>
            </w:pPr>
            <w:r w:rsidDel="00000000" w:rsidR="00000000" w:rsidRPr="00000000">
              <w:rPr>
                <w:b w:val="0"/>
                <w:sz w:val="20"/>
                <w:szCs w:val="20"/>
                <w:rtl w:val="0"/>
              </w:rPr>
              <w:t xml:space="preserve">Requisitos: CIT-2311 Sistemas distribuidos, CIT-2413 Criptografía y Seguridad en Redes</w:t>
            </w:r>
          </w:p>
        </w:tc>
      </w:tr>
      <w:tr>
        <w:trPr>
          <w:cantSplit w:val="0"/>
          <w:trHeight w:val="293" w:hRule="atLeast"/>
          <w:tblHeader w:val="0"/>
        </w:trPr>
        <w:tc>
          <w:tcPr>
            <w:gridSpan w:val="2"/>
          </w:tcPr>
          <w:p w:rsidR="00000000" w:rsidDel="00000000" w:rsidP="00000000" w:rsidRDefault="00000000" w:rsidRPr="00000000" w14:paraId="00000012">
            <w:pPr>
              <w:pStyle w:val="Heading1"/>
              <w:tabs>
                <w:tab w:val="left" w:leader="none" w:pos="669"/>
              </w:tabs>
              <w:ind w:left="0" w:firstLine="0"/>
              <w:rPr>
                <w:b w:val="0"/>
                <w:sz w:val="20"/>
                <w:szCs w:val="20"/>
              </w:rPr>
            </w:pPr>
            <w:r w:rsidDel="00000000" w:rsidR="00000000" w:rsidRPr="00000000">
              <w:rPr>
                <w:b w:val="0"/>
                <w:sz w:val="20"/>
                <w:szCs w:val="20"/>
                <w:rtl w:val="0"/>
              </w:rPr>
              <w:t xml:space="preserve">Sesiones cátedras semanales: 2 cátedras</w:t>
            </w:r>
          </w:p>
        </w:tc>
      </w:tr>
      <w:tr>
        <w:trPr>
          <w:cantSplit w:val="0"/>
          <w:trHeight w:val="309" w:hRule="atLeast"/>
          <w:tblHeader w:val="0"/>
        </w:trPr>
        <w:tc>
          <w:tcPr>
            <w:gridSpan w:val="2"/>
          </w:tcPr>
          <w:p w:rsidR="00000000" w:rsidDel="00000000" w:rsidP="00000000" w:rsidRDefault="00000000" w:rsidRPr="00000000" w14:paraId="00000014">
            <w:pPr>
              <w:pStyle w:val="Heading1"/>
              <w:tabs>
                <w:tab w:val="left" w:leader="none" w:pos="669"/>
              </w:tabs>
              <w:ind w:left="0" w:firstLine="0"/>
              <w:rPr>
                <w:b w:val="0"/>
                <w:sz w:val="20"/>
                <w:szCs w:val="20"/>
              </w:rPr>
            </w:pPr>
            <w:r w:rsidDel="00000000" w:rsidR="00000000" w:rsidRPr="00000000">
              <w:rPr>
                <w:b w:val="0"/>
                <w:sz w:val="20"/>
                <w:szCs w:val="20"/>
                <w:rtl w:val="0"/>
              </w:rPr>
              <w:t xml:space="preserve">Sesiones de Ayudantía: 1</w:t>
            </w:r>
          </w:p>
        </w:tc>
      </w:tr>
    </w:tbl>
    <w:p w:rsidR="00000000" w:rsidDel="00000000" w:rsidP="00000000" w:rsidRDefault="00000000" w:rsidRPr="00000000" w14:paraId="00000016">
      <w:pPr>
        <w:pStyle w:val="Heading1"/>
        <w:tabs>
          <w:tab w:val="left" w:leader="none" w:pos="837"/>
        </w:tabs>
        <w:rPr>
          <w:sz w:val="20"/>
          <w:szCs w:val="20"/>
        </w:rPr>
      </w:pPr>
      <w:r w:rsidDel="00000000" w:rsidR="00000000" w:rsidRPr="00000000">
        <w:rPr>
          <w:rtl w:val="0"/>
        </w:rPr>
      </w:r>
    </w:p>
    <w:p w:rsidR="00000000" w:rsidDel="00000000" w:rsidP="00000000" w:rsidRDefault="00000000" w:rsidRPr="00000000" w14:paraId="00000017">
      <w:pPr>
        <w:pStyle w:val="Heading1"/>
        <w:numPr>
          <w:ilvl w:val="0"/>
          <w:numId w:val="1"/>
        </w:numPr>
        <w:tabs>
          <w:tab w:val="left" w:leader="none" w:pos="837"/>
        </w:tabs>
        <w:ind w:left="837" w:hanging="427"/>
        <w:rPr>
          <w:sz w:val="20"/>
          <w:szCs w:val="20"/>
        </w:rPr>
      </w:pPr>
      <w:r w:rsidDel="00000000" w:rsidR="00000000" w:rsidRPr="00000000">
        <w:rPr>
          <w:sz w:val="20"/>
          <w:szCs w:val="20"/>
          <w:rtl w:val="0"/>
        </w:rPr>
        <w:t xml:space="preserve">Descripción de la asignatura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24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un futuro Ingeniero Civil en Informática y Telecomunicaciones resulta esencial el poder conocer las arquitecturas emergentes que se utilizan en los sistemas informáticos o en las redes de datos empresariales.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24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también, debe conocer los objetivos, normas y buenas prácticas que orientan la selección, diseño y operación de las arquitecturas aplicadas en dichos sistemas y redes, con un foco en la agregación de valor y cumplimiento de los requerimientos del negocio o actividad.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24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24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contexto, este ingeniero debe proveer soluciones técnicamente factibles y proyectivas, para asegurar la eficiencia y la utilización de tecnologías que aporten competitividad. Para ello, este curso entrega las herramientas necesarias para desarrollar de manera apropiada estas tareas.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1"/>
        </w:numPr>
        <w:tabs>
          <w:tab w:val="left" w:leader="none" w:pos="836"/>
        </w:tabs>
        <w:ind w:left="836" w:hanging="426"/>
        <w:rPr>
          <w:sz w:val="20"/>
          <w:szCs w:val="20"/>
        </w:rPr>
      </w:pPr>
      <w:r w:rsidDel="00000000" w:rsidR="00000000" w:rsidRPr="00000000">
        <w:rPr>
          <w:sz w:val="20"/>
          <w:szCs w:val="20"/>
          <w:rtl w:val="0"/>
        </w:rPr>
        <w:t xml:space="preserve">Resultados de aprendizaje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 los requerimientos estratégicos del negocio o actividad en cuanto a soporte informático y de telecomunicaciones, que condicionan las arquitecturas de las soluciones y su forma de operarlas.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 y/o evalúa la eficiencia de arquitecturas cloud, para la correcta transmisión y manejo de datos.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 de forma crítica el desempeño de arquitecturas de alta disponibilidad que operan servicios clásicos, para el desarrollo de soluciones TI.</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cómo las normas y buenas prácticas impactan en la eficiencia y la seguridad de los sistemas de telecomunicaciones, garantizando la calidad, la sostenibilidad y la seguridad en los entornos tecnológicos.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Evalúa riesgos y aplica controles, en la operación de infraestructura tecnológica, a partir de normativas nacionales e internacionales.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1"/>
        </w:numPr>
        <w:tabs>
          <w:tab w:val="left" w:leader="none" w:pos="836"/>
        </w:tabs>
        <w:ind w:left="836" w:hanging="426"/>
        <w:rPr>
          <w:sz w:val="20"/>
          <w:szCs w:val="20"/>
        </w:rPr>
      </w:pPr>
      <w:r w:rsidDel="00000000" w:rsidR="00000000" w:rsidRPr="00000000">
        <w:rPr>
          <w:sz w:val="20"/>
          <w:szCs w:val="20"/>
          <w:rtl w:val="0"/>
        </w:rPr>
        <w:t xml:space="preserve">Unidades Temáticas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1: Introducción y Características de las Arquitecturas Emergentes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 a las arquitecturas emergentes. Visión de las diversas arquitecturas. Principales arquitecturas tradicionales. Arquitecturas complejas. Arquitecturas de alta disponibilidad: Redes jerárquicas, bounding y multihoming. Datacenters y zonas de disponibilidad. Arquitecturas on-premise. Arquitecturas cloud: Virtual Private Cloud (VPC).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2: Herramientas para Desarrollos Cloud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Listas de control de acceso a redes y subredes cloud. Modelo de responsabilidad compartida. Arquitecturas para migraciones en entornos cloud. Diseño de componentes AWS como CloudFront, Route 53 y Load Balancer. Cloud Adoption Framework (CAF) y Well-Architected Framework (WAF). Temas emergentes en las redes de core y cloud. Características y requerimientos estratégicos.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3: Normativa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Visión de las Normas y Buenas Prácticas, para el diseño y operación de servicios de TI, Análisis de Riesgo en la prestación de servicios de TI. Normas Aplicables a los Servicios de TI. Dimensiones de la Seguridad de información en ISO 27.001. ITIL y dimensiones en ISO 20.000.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 4: Continuidad Operacional y Gestión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la continuidad operacional con ISO 22.301. Introducción a la Gestión de servicio mediante ITIL Diseño de la Gestión de servicio mediante ITIL.Implementación de una Mesa de servicio.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37" w:right="0" w:hanging="428"/>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método de enseñanza: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clases de cátedra serán expositivas, dictadas por los profesores de la asignatura. Ellas serán basadas en presentaciones electrónicas, con apoyo adicional de herramientas de simulación. Se fomentará el análisis crítico y diseño comparado de arquitecturas de comunicaciones bajo restricciones.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45" w:hanging="35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la clase, los alumnos trabajarán en grupos. Ellos desarrollarán experiencias prácticas diseñadas por el profesor, además de discutir artículos o soluciones publicadas en revistas y conferencias internacionales. Cada una de estas actividades finalizará con la elaboración de un trabajo escrito, que de cuenta de los resultados/análisis obtenidos. La lectura de artículos finalizará también con una exposición oral frente al grupo curso. </w:t>
      </w:r>
    </w:p>
    <w:p w:rsidR="00000000" w:rsidDel="00000000" w:rsidP="00000000" w:rsidRDefault="00000000" w:rsidRPr="00000000" w14:paraId="0000003A">
      <w:pPr>
        <w:widowControl w:val="1"/>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837" w:right="0" w:hanging="428"/>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general del método de evaluación: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un alumno obtiene un promedio de notas parciales inferior a 4.0, reprobará la asignatura con nota final igual al promedio en cuestión.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Sólo podrán eximirse alumnos que, habiendo rendido todas sus evaluaciones (incluyendo solemnes, tareas, trabajos, controles, y laboratorios/proyectos) obtengan una nota final mayor o igual a 5.0.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47"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6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nota final de la asignatura corresponderá a 0.7·NPres + 0.3·NExamen, donde NPres corresponde a la nota de presentación y NExamen corresponde a la nota del examen final.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0"/>
          <w:numId w:val="1"/>
        </w:numPr>
        <w:tabs>
          <w:tab w:val="left" w:leader="none" w:pos="835"/>
        </w:tabs>
        <w:spacing w:after="0" w:before="1" w:lineRule="auto"/>
        <w:ind w:left="835" w:hanging="425"/>
        <w:rPr>
          <w:sz w:val="20"/>
          <w:szCs w:val="20"/>
        </w:rPr>
      </w:pPr>
      <w:r w:rsidDel="00000000" w:rsidR="00000000" w:rsidRPr="00000000">
        <w:rPr>
          <w:sz w:val="20"/>
          <w:szCs w:val="20"/>
          <w:rtl w:val="0"/>
        </w:rPr>
        <w:t xml:space="preserve">Bibliografía Básica Obligatoria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990" w:right="746"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Papers y publicaciones científicas relacionadas con la temática disponibles en IEEEXplore, ACM, entre otros catálogos.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0" w:right="746" w:firstLine="0"/>
        <w:jc w:val="left"/>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0" w:right="746" w:firstLine="0"/>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0" w:right="746" w:firstLine="0"/>
        <w:jc w:val="left"/>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0"/>
        </w:tabs>
        <w:spacing w:after="0" w:before="0" w:line="240" w:lineRule="auto"/>
        <w:ind w:left="0" w:right="74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Elaborado por: Diego Dujovne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Revisado por: Rodrigo Caballero y Jorge Elliott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5" w:lineRule="auto"/>
        <w:ind w:left="0" w:right="43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revisión: </w:t>
      </w:r>
      <w:r w:rsidDel="00000000" w:rsidR="00000000" w:rsidRPr="00000000">
        <w:rPr>
          <w:sz w:val="20"/>
          <w:szCs w:val="20"/>
          <w:rtl w:val="0"/>
        </w:rPr>
        <w:t xml:space="preserve">Mayo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5" w:lineRule="auto"/>
        <w:ind w:left="0" w:right="43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Fecha vigencia: Marzo 202</w:t>
      </w:r>
      <w:r w:rsidDel="00000000" w:rsidR="00000000" w:rsidRPr="00000000">
        <w:rPr>
          <w:sz w:val="20"/>
          <w:szCs w:val="20"/>
          <w:rtl w:val="0"/>
        </w:rPr>
        <w:t xml:space="preserve">6</w:t>
      </w:r>
      <w:r w:rsidDel="00000000" w:rsidR="00000000" w:rsidRPr="00000000">
        <w:rPr>
          <w:rtl w:val="0"/>
        </w:rPr>
      </w:r>
    </w:p>
    <w:sectPr>
      <w:footerReference r:id="rId7" w:type="default"/>
      <w:pgSz w:h="15840" w:w="12240" w:orient="portrait"/>
      <w:pgMar w:bottom="280" w:top="136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37" w:hanging="427.99999999999994"/>
      </w:pPr>
      <w:rPr>
        <w:b w:val="1"/>
        <w:i w:val="0"/>
        <w:sz w:val="22"/>
        <w:szCs w:val="22"/>
      </w:rPr>
    </w:lvl>
    <w:lvl w:ilvl="1">
      <w:start w:val="0"/>
      <w:numFmt w:val="bullet"/>
      <w:lvlText w:val="-"/>
      <w:lvlJc w:val="left"/>
      <w:pPr>
        <w:ind w:left="1120" w:hanging="351"/>
      </w:pPr>
      <w:rPr>
        <w:rFonts w:ascii="Arial" w:cs="Arial" w:eastAsia="Arial" w:hAnsi="Arial"/>
      </w:rPr>
    </w:lvl>
    <w:lvl w:ilvl="2">
      <w:start w:val="0"/>
      <w:numFmt w:val="bullet"/>
      <w:lvlText w:val="●"/>
      <w:lvlJc w:val="left"/>
      <w:pPr>
        <w:ind w:left="1120" w:hanging="351"/>
      </w:pPr>
      <w:rPr>
        <w:rFonts w:ascii="Noto Sans Symbols" w:cs="Noto Sans Symbols" w:eastAsia="Noto Sans Symbols" w:hAnsi="Noto Sans Symbols"/>
      </w:rPr>
    </w:lvl>
    <w:lvl w:ilvl="3">
      <w:start w:val="0"/>
      <w:numFmt w:val="bullet"/>
      <w:lvlText w:val="●"/>
      <w:lvlJc w:val="left"/>
      <w:pPr>
        <w:ind w:left="2150" w:hanging="351"/>
      </w:pPr>
      <w:rPr>
        <w:rFonts w:ascii="Noto Sans Symbols" w:cs="Noto Sans Symbols" w:eastAsia="Noto Sans Symbols" w:hAnsi="Noto Sans Symbols"/>
      </w:rPr>
    </w:lvl>
    <w:lvl w:ilvl="4">
      <w:start w:val="0"/>
      <w:numFmt w:val="bullet"/>
      <w:lvlText w:val="●"/>
      <w:lvlJc w:val="left"/>
      <w:pPr>
        <w:ind w:left="3180" w:hanging="351"/>
      </w:pPr>
      <w:rPr>
        <w:rFonts w:ascii="Noto Sans Symbols" w:cs="Noto Sans Symbols" w:eastAsia="Noto Sans Symbols" w:hAnsi="Noto Sans Symbols"/>
      </w:rPr>
    </w:lvl>
    <w:lvl w:ilvl="5">
      <w:start w:val="0"/>
      <w:numFmt w:val="bullet"/>
      <w:lvlText w:val="●"/>
      <w:lvlJc w:val="left"/>
      <w:pPr>
        <w:ind w:left="4210" w:hanging="351"/>
      </w:pPr>
      <w:rPr>
        <w:rFonts w:ascii="Noto Sans Symbols" w:cs="Noto Sans Symbols" w:eastAsia="Noto Sans Symbols" w:hAnsi="Noto Sans Symbols"/>
      </w:rPr>
    </w:lvl>
    <w:lvl w:ilvl="6">
      <w:start w:val="0"/>
      <w:numFmt w:val="bullet"/>
      <w:lvlText w:val="●"/>
      <w:lvlJc w:val="left"/>
      <w:pPr>
        <w:ind w:left="5240" w:hanging="351"/>
      </w:pPr>
      <w:rPr>
        <w:rFonts w:ascii="Noto Sans Symbols" w:cs="Noto Sans Symbols" w:eastAsia="Noto Sans Symbols" w:hAnsi="Noto Sans Symbols"/>
      </w:rPr>
    </w:lvl>
    <w:lvl w:ilvl="7">
      <w:start w:val="0"/>
      <w:numFmt w:val="bullet"/>
      <w:lvlText w:val="●"/>
      <w:lvlJc w:val="left"/>
      <w:pPr>
        <w:ind w:left="6270" w:hanging="351"/>
      </w:pPr>
      <w:rPr>
        <w:rFonts w:ascii="Noto Sans Symbols" w:cs="Noto Sans Symbols" w:eastAsia="Noto Sans Symbols" w:hAnsi="Noto Sans Symbols"/>
      </w:rPr>
    </w:lvl>
    <w:lvl w:ilvl="8">
      <w:start w:val="0"/>
      <w:numFmt w:val="bullet"/>
      <w:lvlText w:val="●"/>
      <w:lvlJc w:val="left"/>
      <w:pPr>
        <w:ind w:left="7300" w:hanging="351"/>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rFonts w:ascii="Noto Sans Symbols" w:cs="Noto Sans Symbols" w:eastAsia="Noto Sans Symbols" w:hAnsi="Noto Sans Symbols"/>
      </w:rPr>
    </w:lvl>
    <w:lvl w:ilvl="1">
      <w:start w:val="1"/>
      <w:numFmt w:val="lowerLetter"/>
      <w:lvlText w:val="%2."/>
      <w:lvlJc w:val="left"/>
      <w:pPr>
        <w:ind w:left="180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520" w:hanging="360"/>
      </w:pPr>
      <w:rPr>
        <w:rFonts w:ascii="Noto Sans Symbols" w:cs="Noto Sans Symbols" w:eastAsia="Noto Sans Symbols" w:hAnsi="Noto Sans Symbols"/>
      </w:rPr>
    </w:lvl>
    <w:lvl w:ilvl="4">
      <w:start w:val="1"/>
      <w:numFmt w:val="lowerLetter"/>
      <w:lvlText w:val="%5."/>
      <w:lvlJc w:val="left"/>
      <w:pPr>
        <w:ind w:left="2880" w:hanging="360"/>
      </w:pPr>
      <w:rPr>
        <w:rFonts w:ascii="Noto Sans Symbols" w:cs="Noto Sans Symbols" w:eastAsia="Noto Sans Symbols" w:hAnsi="Noto Sans Symbols"/>
      </w:rPr>
    </w:lvl>
    <w:lvl w:ilvl="5">
      <w:start w:val="1"/>
      <w:numFmt w:val="lowerRoman"/>
      <w:lvlText w:val="%6."/>
      <w:lvlJc w:val="right"/>
      <w:pPr>
        <w:ind w:left="3240" w:hanging="360"/>
      </w:pPr>
      <w:rPr>
        <w:rFonts w:ascii="Noto Sans Symbols" w:cs="Noto Sans Symbols" w:eastAsia="Noto Sans Symbols" w:hAnsi="Noto Sans Symbols"/>
      </w:rPr>
    </w:lvl>
    <w:lvl w:ilvl="6">
      <w:start w:val="1"/>
      <w:numFmt w:val="decimal"/>
      <w:lvlText w:val="%7."/>
      <w:lvlJc w:val="left"/>
      <w:pPr>
        <w:ind w:left="3600" w:hanging="360"/>
      </w:pPr>
      <w:rPr>
        <w:rFonts w:ascii="Noto Sans Symbols" w:cs="Noto Sans Symbols" w:eastAsia="Noto Sans Symbols" w:hAnsi="Noto Sans Symbols"/>
      </w:rPr>
    </w:lvl>
    <w:lvl w:ilvl="7">
      <w:start w:val="1"/>
      <w:numFmt w:val="lowerLetter"/>
      <w:lvlText w:val="%8."/>
      <w:lvlJc w:val="left"/>
      <w:pPr>
        <w:ind w:left="3960" w:hanging="360"/>
      </w:pPr>
      <w:rPr>
        <w:rFonts w:ascii="Noto Sans Symbols" w:cs="Noto Sans Symbols" w:eastAsia="Noto Sans Symbols" w:hAnsi="Noto Sans Symbols"/>
      </w:rPr>
    </w:lvl>
    <w:lvl w:ilvl="8">
      <w:start w:val="1"/>
      <w:numFmt w:val="lowerRoman"/>
      <w:lvlText w:val="%9."/>
      <w:lvlJc w:val="right"/>
      <w:pPr>
        <w:ind w:left="43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36" w:hanging="427"/>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pPr>
    <w:rPr>
      <w:rFonts w:ascii="Arial MT" w:cs="Arial MT" w:eastAsia="Arial MT" w:hAnsi="Arial MT"/>
      <w:color w:val="auto"/>
      <w:kern w:val="0"/>
      <w:sz w:val="22"/>
      <w:szCs w:val="22"/>
      <w:lang w:bidi="ar-SA" w:eastAsia="en-US" w:val="es-ES"/>
    </w:rPr>
  </w:style>
  <w:style w:type="paragraph" w:styleId="Heading1">
    <w:name w:val="Heading 1"/>
    <w:basedOn w:val="Normal"/>
    <w:uiPriority w:val="9"/>
    <w:qFormat w:val="1"/>
    <w:pPr>
      <w:ind w:left="836" w:hanging="427"/>
      <w:outlineLvl w:val="0"/>
    </w:pPr>
    <w:rPr>
      <w:rFonts w:ascii="Arial" w:cs="Arial" w:eastAsia="Arial" w:hAnsi="Arial"/>
      <w:b w:val="1"/>
      <w:bCs w:val="1"/>
    </w:rPr>
  </w:style>
  <w:style w:type="character" w:styleId="DefaultParagraphFont" w:default="1">
    <w:name w:val="Default Paragraph Font"/>
    <w:uiPriority w:val="1"/>
    <w:semiHidden w:val="1"/>
    <w:unhideWhenUsed w:val="1"/>
    <w:qFormat w:val="1"/>
    <w:rPr/>
  </w:style>
  <w:style w:type="character" w:styleId="InternetLink">
    <w:name w:val="Hyperlink"/>
    <w:rPr>
      <w:color w:val="000080"/>
      <w:u w:val="single"/>
    </w:rPr>
  </w:style>
  <w:style w:type="character" w:styleId="Bullets">
    <w:name w:val="Bullets"/>
    <w:qFormat w:val="1"/>
    <w:rPr>
      <w:rFonts w:ascii="OpenSymbol" w:cs="OpenSymbol" w:eastAsia="OpenSymbol" w:hAnsi="OpenSymbol"/>
    </w:rPr>
  </w:style>
  <w:style w:type="paragraph" w:styleId="Heading" w:customStyle="1">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uiPriority w:val="1"/>
    <w:qFormat w:val="1"/>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Caption1">
    <w:name w:val="caption"/>
    <w:basedOn w:val="Normal"/>
    <w:qFormat w:val="1"/>
    <w:pPr>
      <w:suppressLineNumbers w:val="1"/>
      <w:spacing w:after="120" w:before="120"/>
    </w:pPr>
    <w:rPr>
      <w:rFonts w:cs="Lohit Devanagari"/>
      <w:i w:val="1"/>
      <w:iCs w:val="1"/>
      <w:sz w:val="24"/>
      <w:szCs w:val="24"/>
    </w:rPr>
  </w:style>
  <w:style w:type="paragraph" w:styleId="ListParagraph">
    <w:name w:val="List Paragraph"/>
    <w:basedOn w:val="Normal"/>
    <w:uiPriority w:val="1"/>
    <w:qFormat w:val="1"/>
    <w:pPr>
      <w:ind w:left="1120" w:hanging="350"/>
    </w:pPr>
    <w:rPr/>
  </w:style>
  <w:style w:type="paragraph" w:styleId="TableParagraph" w:customStyle="1">
    <w:name w:val="Table Paragraph"/>
    <w:basedOn w:val="Normal"/>
    <w:uiPriority w:val="1"/>
    <w:qFormat w:val="1"/>
    <w:pPr/>
    <w:rPr/>
  </w:style>
  <w:style w:type="paragraph" w:styleId="FrameContents" w:customStyle="1">
    <w:name w:val="Frame Contents"/>
    <w:basedOn w:val="Normal"/>
    <w:qFormat w:val="1"/>
    <w:pPr/>
    <w:rPr/>
  </w:style>
  <w:style w:type="paragraph" w:styleId="LOnormal" w:customStyle="1">
    <w:name w:val="LO-normal"/>
    <w:qFormat w:val="1"/>
    <w:pPr>
      <w:widowControl w:val="1"/>
      <w:suppressAutoHyphens w:val="1"/>
      <w:bidi w:val="0"/>
      <w:spacing w:after="0" w:before="0"/>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39"/>
    <w:rsid w:val="0060250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RXOBJdap3Hd7GYh6HZSvlXhpKA==">CgMxLjA4AHIhMWhGWjdXT3RCbUVwVGlkYkczZ2R0eFRaeFBULWI1MUxO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2025-03-12T20:08:00Z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2020-09-23T00:00:00Z</vt:filetime>
  </property>
  <property fmtid="{D5CDD505-2E9C-101B-9397-08002B2CF9AE}" pid="4" name="Creator">
    <vt:lpwstr>Word</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2025-03-12T00:00:00Z</vt:filetime>
  </property>
  <property fmtid="{D5CDD505-2E9C-101B-9397-08002B2CF9AE}" pid="8" name="LinksUpToDate">
    <vt:bool>false</vt:bool>
  </property>
  <property fmtid="{D5CDD505-2E9C-101B-9397-08002B2CF9AE}" pid="9" name="Producer">
    <vt:lpwstr>macOS Versión 10.15.5 (Compilación 19F101) Quartz PDFContext</vt:lpwstr>
  </property>
  <property fmtid="{D5CDD505-2E9C-101B-9397-08002B2CF9AE}" pid="10" name="ScaleCrop">
    <vt:bool>false</vt:bool>
  </property>
  <property fmtid="{D5CDD505-2E9C-101B-9397-08002B2CF9AE}" pid="11" name="ShareDoc">
    <vt:bool>false</vt:bool>
  </property>
</Properties>
</file>