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HIF-10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BESLUTNINGSLOG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Sporbar oversigt over væsentlige beslutninger og deres begrundelse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Beslutninger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850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Emne</w:t>
            </w:r>
          </w:p>
        </w:tc>
        <w:tc>
          <w:tcPr>
            <w:tcW w:type="dxa" w:w="340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Beslutning</w:t>
            </w:r>
          </w:p>
        </w:tc>
        <w:tc>
          <w:tcPr>
            <w:tcW w:type="dxa" w:w="340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Begrundelse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Besluttet af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Konsekvens / opfølgning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Revurderes dato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Dokumentreference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Hvad bør logges?</w:t>
      </w:r>
    </w:p>
    <w:p>
      <w:pPr>
        <w:spacing w:after="80"/>
      </w:pPr>
      <w:r>
        <w:rPr>
          <w:rFonts w:ascii="Aptos" w:hAnsi="Aptos"/>
          <w:b w:val="0"/>
          <w:color w:val="657176"/>
          <w:sz w:val="17"/>
        </w:rPr>
        <w:t>Væsentlige økonomiske, organisatoriske, kontraktuelle, sikkerhedsrelaterede eller principielle beslutninger - især hvis det senere kan være relevant at forstå hvorfor beslutningen blev taget.</w:t>
      </w:r>
    </w:p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HIF-10 Beslutningslog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