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HIF-17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HAENDELSES- OG SKADESRAPPORT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Dokumentation af ulykker, skader, nærved-hændelser og materielle skader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Grundoplysninger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og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Rapport udfyldt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Type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Personskade / materiel skade / nærved-hændelse / andet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Hvad skete der?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Beskrivelse af hændelsen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Aktivitet på tidspunktet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Umiddelbar årsag / observation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Involverede og vidner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Navn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Kontaktoplysning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Involveret / vidne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Skade og første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Personskade / symptomer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Materiel skade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Førstehjælp / akut indsats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112 / læge / anden myndighed kontaktet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Aktivitet stoppet / område sikret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Dokumentation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Dokumentation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 / reference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Indsamlet af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Opfølgning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Handling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Forebyggelse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kan forhindre gentagelse?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Skal opgavekort / instrukser ændres?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Skal bestyrelse / forsikring / myndighed orienteres?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657176"/>
          <w:sz w:val="17"/>
        </w:rPr>
        <w:t>Ved alvorlige personskader eller andre hændelser med lovpligtige indberetningskrav skal gældende regler og relevante myndighedskrav følges. Denne skabelon erstatter ikke officielle indberetningssystemer.</w:t>
      </w:r>
    </w:p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HIF-17 Haendelses- og skadesrapport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