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HIF-21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GDPR- OG SAMTYKKEOVERSIGT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Praktisk arbejdsoversigt over persondata, samtykker og ansvar i foreningen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Behandlings-/dataoversigt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Aktivitet / system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Persondata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Formål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Registrerede personer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Behandlingsgrundlag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Adgang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Opbevaring / sletning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Databehandler / system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Samtykkeoversigt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rPr>
          <w:tblHeader w:val="true"/>
        </w:trPr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 samtykke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Hvem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Formål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Hvordan indhentes?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 dokumenteres?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Gyldighed / tilbagetrækning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</w:tr>
      <w:tr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Kontrolpunkter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rPr>
          <w:tblHeader w:val="true"/>
        </w:trPr>
        <w:tc>
          <w:tcPr>
            <w:tcW w:type="dxa" w:w="3926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Kontrolpunkt</w:t>
            </w:r>
          </w:p>
        </w:tc>
        <w:tc>
          <w:tcPr>
            <w:tcW w:type="dxa" w:w="3926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926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Handling / deadline</w:t>
            </w:r>
          </w:p>
        </w:tc>
        <w:tc>
          <w:tcPr>
            <w:tcW w:type="dxa" w:w="3926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</w:tr>
      <w:t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Kun nødvendige persondata indsamles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Adgange til systemer er ajourført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Gamle brugere/adgange er fjernet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Slettefrister er kendt og følges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Databehandlere / systemer er kendte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Samtykker kan dokumenteres hvor nødvendigt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Procedure for indsigt / sletning er kendt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Procedure for databrud er kendt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657176"/>
          <w:sz w:val="17"/>
        </w:rPr>
        <w:t>Denne skabelon er en praktisk administrationsoversigt og ikke juridisk rådgivning. Behandlingsgrundlag og lovpligtige dokumentationskrav bør vurderes efter gældende databeskyttelsesregler og relevante vejledninger.</w:t>
      </w:r>
    </w:p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HIF-21 GDPR- og samtykkeoversigt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