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rFonts w:ascii="Aptos" w:hAnsi="Aptos"/>
          <w:b/>
          <w:color w:val="657176"/>
          <w:sz w:val="18"/>
        </w:rPr>
        <w:t>HIF-10</w:t>
      </w:r>
    </w:p>
    <w:p>
      <w:pPr>
        <w:keepNext/>
        <w:spacing w:after="20"/>
        <w:jc w:val="center"/>
      </w:pPr>
      <w:r>
        <w:rPr>
          <w:rFonts w:ascii="Aptos Display" w:hAnsi="Aptos Display"/>
          <w:b/>
          <w:color w:val="1F5A3E"/>
          <w:sz w:val="42"/>
        </w:rPr>
        <w:t>BESLUTNINGSLOG</w:t>
      </w:r>
    </w:p>
    <w:p>
      <w:pPr>
        <w:spacing w:after="160"/>
        <w:jc w:val="center"/>
      </w:pPr>
      <w:r>
        <w:rPr>
          <w:rFonts w:ascii="Aptos" w:hAnsi="Aptos"/>
          <w:b w:val="0"/>
          <w:color w:val="657176"/>
          <w:sz w:val="18"/>
        </w:rPr>
        <w:t>Sporbar oversigt over væsentlige beslutninger og deres begrundelse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7852"/>
        <w:gridCol w:w="7852"/>
      </w:tblGrid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Dokumentejer / udvalg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owner_committee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Version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version_label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Senest opdateret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updated_at }}</w:t>
            </w:r>
          </w:p>
        </w:tc>
      </w:tr>
      <w:tr>
        <w:tc>
          <w:tcPr>
            <w:tcW w:type="dxa" w:w="7852"/>
            <w:shd w:fill="EAF2ED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 w:val="0"/>
                <w:color w:val="263238"/>
                <w:sz w:val="15"/>
              </w:rPr>
              <w:t>Godkendt af</w:t>
            </w:r>
          </w:p>
        </w:tc>
        <w:tc>
          <w:tcPr>
            <w:tcW w:type="dxa" w:w="785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approved_by }}</w:t>
            </w:r>
          </w:p>
        </w:tc>
      </w:tr>
    </w:tbl>
    <w:p>
      <w:pPr>
        <w:spacing w:after="40"/>
      </w:pPr>
    </w:p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Beslutninger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45"/>
        <w:gridCol w:w="1745"/>
        <w:gridCol w:w="1745"/>
        <w:gridCol w:w="1745"/>
        <w:gridCol w:w="1745"/>
        <w:gridCol w:w="1745"/>
        <w:gridCol w:w="1745"/>
        <w:gridCol w:w="1745"/>
        <w:gridCol w:w="1745"/>
      </w:tblGrid>
      <w:tr>
        <w:trPr>
          <w:tblHeader w:val="true"/>
        </w:trPr>
        <w:tc>
          <w:tcPr>
            <w:tcW w:type="dxa" w:w="850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ID</w:t>
            </w:r>
          </w:p>
        </w:tc>
        <w:tc>
          <w:tcPr>
            <w:tcW w:type="dxa" w:w="1417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Dato</w:t>
            </w:r>
          </w:p>
        </w:tc>
        <w:tc>
          <w:tcPr>
            <w:tcW w:type="dxa" w:w="2268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Emne</w:t>
            </w:r>
          </w:p>
        </w:tc>
        <w:tc>
          <w:tcPr>
            <w:tcW w:type="dxa" w:w="340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Beslutning</w:t>
            </w:r>
          </w:p>
        </w:tc>
        <w:tc>
          <w:tcPr>
            <w:tcW w:type="dxa" w:w="3402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Begrundelse</w:t>
            </w:r>
          </w:p>
        </w:tc>
        <w:tc>
          <w:tcPr>
            <w:tcW w:type="dxa" w:w="1984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Besluttet af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Konsekvens / opfølgning</w:t>
            </w:r>
          </w:p>
        </w:tc>
        <w:tc>
          <w:tcPr>
            <w:tcW w:type="dxa" w:w="1701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Revurderes dato</w:t>
            </w:r>
          </w:p>
        </w:tc>
        <w:tc>
          <w:tcPr>
            <w:tcW w:type="dxa" w:w="2835"/>
            <w:shd w:fill="1F5A3E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pPr>
              <w:spacing w:after="0"/>
            </w:pPr>
            <w:r>
              <w:rPr>
                <w:rFonts w:ascii="Aptos" w:hAnsi="Aptos"/>
                <w:b/>
                <w:color w:val="FFFFFF"/>
                <w:sz w:val="16"/>
              </w:rPr>
              <w:t>Dokumentreference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for item in decisions %}</w:t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item.decision_id }}</w:t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item.decision_date }}</w:t>
            </w:r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item.topic }}</w:t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item.decision }}</w:t>
            </w:r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item.justification }}</w:t>
            </w:r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item.decided_by }}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item.consequence_followup }}</w:t>
            </w:r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item.revisit_date }}</w:t>
            </w:r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{{ item.document_reference }}</w:t>
            </w:r>
          </w:p>
        </w:tc>
      </w:tr>
      <w:tr>
        <w:tc>
          <w:tcPr>
            <w:tcW w:type="dxa" w:w="850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>
              <w:t>{%tr endfor %}</w:t>
            </w:r>
          </w:p>
        </w:tc>
        <w:tc>
          <w:tcPr>
            <w:tcW w:type="dxa" w:w="1417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268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3402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984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1701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  <w:tc>
          <w:tcPr>
            <w:tcW w:type="dxa" w:w="2835"/>
            <w:shd w:fill="FFFFFF"/>
            <w:vAlign w:val="center"/>
            <w:tcMar>
              <w:top w:w="65" w:type="dxa"/>
              <w:start w:w="70" w:type="dxa"/>
              <w:bottom w:w="65" w:type="dxa"/>
              <w:end w:w="70" w:type="dxa"/>
            </w:tcMar>
          </w:tcPr>
          <w:p>
            <w:r/>
          </w:p>
        </w:tc>
      </w:tr>
    </w:tbl>
    <w:p>
      <w:pPr>
        <w:keepNext/>
        <w:spacing w:before="140" w:after="60"/>
      </w:pPr>
      <w:r>
        <w:rPr>
          <w:rFonts w:ascii="Aptos" w:hAnsi="Aptos"/>
          <w:b/>
          <w:color w:val="1F5A3E"/>
          <w:sz w:val="24"/>
        </w:rPr>
        <w:t>Hvad bør logges?</w:t>
      </w:r>
    </w:p>
    <w:p>
      <w:pPr>
        <w:spacing w:after="80"/>
      </w:pPr>
      <w:r>
        <w:rPr>
          <w:rFonts w:ascii="Aptos" w:hAnsi="Aptos"/>
          <w:b w:val="0"/>
          <w:color w:val="657176"/>
          <w:sz w:val="17"/>
        </w:rPr>
        <w:t>Væsentlige økonomiske, organisatoriske, kontraktuelle, sikkerhedsrelaterede eller principielle beslutninger - især hvis det senere kan være relevant at forstå hvorfor beslutningen blev taget.</w:t>
      </w:r>
    </w:p>
    <w:sectPr w:rsidR="00FC693F" w:rsidRPr="0006063C" w:rsidSect="00034616">
      <w:footerReference w:type="default" r:id="rId9"/>
      <w:pgSz w:w="16838" w:h="11906" w:orient="landscape"/>
      <w:pgMar w:top="709" w:right="567" w:bottom="652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57176"/>
        <w:sz w:val="15"/>
      </w:rPr>
      <w:t>Hashøj IF | HIF-10 Beslutningslog | Brug den nyeste godkendte version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63238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