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HIF-20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KOMMUNIKATIONSSKABELON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Planlægning og kvalitetssikring af opslag, nyheder, medlemsinformation og presse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Kommunikation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Titel / emne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title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Målgruppe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target_audience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Afsender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sender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Kanal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for c in channels %}• {{ c }} {% endfor %}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Publiceringsdato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publish_date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responsible_person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Hovedbudskab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Det vigtigste modtageren skal vide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key_message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Ønsket handling fra modtageren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call_to_action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Deadline / praktisk information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deadline_practical_info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Indhold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Udkast / brødtekst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draft_body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Link / kontakt / tilmelding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links_contact_signup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Billede / grafik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media_graphics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 / partner skal nævnes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sponsor_partner_mention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Kvalitetskontrol før publicering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OK / N/A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Dato, tid og sted er korrekt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check_datetime_status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check_datetime_notes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Kontaktoplysninger og links virker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check_links_status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check_links_notes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Sprog og stavning er kontrolleret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check_spelling_status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check_spelling_notes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Billeder må bruges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check_image_rights_status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check_image_rights_notes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Persondata / samtykke er afklaret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check_gdpr_status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check_gdpr_notes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Sponsor-/partnerkrav er overholdt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check_sponsor_status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check_sponsor_notes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Relevant udvalg / ansvarlig har godkendt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check_approval_status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check_approval_notes }}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Publicering på øvrige kanaler er planlagt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check_multichannel_status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check_multichannel_notes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Efter publicering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er det publiceret?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published_where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Reaktion / resultat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reaction_result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Skal indholdet fjernes / opdateres senere?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removal_update_later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HIF-20 Kommunikationsskabelon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