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3039" w:rsidRDefault="00433D54" w:rsidP="002530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Commercial</w:t>
      </w:r>
      <w:r w:rsidR="00253039" w:rsidRPr="00253039">
        <w:rPr>
          <w:rFonts w:ascii="Times New Roman" w:hAnsi="Times New Roman" w:cs="Times New Roman"/>
          <w:b/>
          <w:sz w:val="28"/>
          <w:szCs w:val="24"/>
        </w:rPr>
        <w:t xml:space="preserve"> Discards in Numbers and Pounds for Selected Stocks in the </w:t>
      </w:r>
    </w:p>
    <w:p w:rsidR="00253039" w:rsidRPr="00253039" w:rsidRDefault="00253039" w:rsidP="00253039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253039">
        <w:rPr>
          <w:rFonts w:ascii="Times New Roman" w:hAnsi="Times New Roman" w:cs="Times New Roman"/>
          <w:b/>
          <w:sz w:val="28"/>
          <w:szCs w:val="24"/>
        </w:rPr>
        <w:t>U.S. Gulf of Mexico</w:t>
      </w:r>
    </w:p>
    <w:p w:rsidR="00253039" w:rsidRDefault="00253039" w:rsidP="00253039">
      <w:pPr>
        <w:rPr>
          <w:rFonts w:ascii="Times New Roman" w:hAnsi="Times New Roman" w:cs="Times New Roman"/>
          <w:sz w:val="24"/>
          <w:szCs w:val="24"/>
        </w:rPr>
      </w:pPr>
    </w:p>
    <w:p w:rsidR="009F5F74" w:rsidRDefault="009F5F74" w:rsidP="00253039">
      <w:pPr>
        <w:rPr>
          <w:rFonts w:ascii="Times New Roman" w:hAnsi="Times New Roman" w:cs="Times New Roman"/>
          <w:sz w:val="20"/>
          <w:szCs w:val="24"/>
        </w:rPr>
      </w:pPr>
    </w:p>
    <w:p w:rsidR="009F5F74" w:rsidRPr="009F5F74" w:rsidRDefault="009F5F74" w:rsidP="00253039">
      <w:pPr>
        <w:rPr>
          <w:rFonts w:ascii="Times New Roman" w:hAnsi="Times New Roman" w:cs="Times New Roman"/>
          <w:b/>
          <w:sz w:val="20"/>
          <w:szCs w:val="24"/>
        </w:rPr>
      </w:pPr>
      <w:r w:rsidRPr="009F5F74">
        <w:rPr>
          <w:rFonts w:ascii="Times New Roman" w:hAnsi="Times New Roman" w:cs="Times New Roman"/>
          <w:b/>
          <w:sz w:val="20"/>
          <w:szCs w:val="24"/>
        </w:rPr>
        <w:t>INTRODUCTION</w:t>
      </w:r>
    </w:p>
    <w:p w:rsidR="00253039" w:rsidRPr="00253039" w:rsidRDefault="00253039" w:rsidP="00253039">
      <w:p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 xml:space="preserve">In May 2019, the Gulf of Mexico Fisheries Management Council (Council) requested a dataset including discards in numbers and weight for the private recreational, charter vessel, headboat, and commercial fleets by gear type, and year for the following species: 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  <w:sectPr w:rsidR="00253039" w:rsidRPr="00253039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 xml:space="preserve">Red </w:t>
      </w:r>
      <w:r w:rsidR="0034636B">
        <w:rPr>
          <w:rFonts w:ascii="Times New Roman" w:hAnsi="Times New Roman" w:cs="Times New Roman"/>
          <w:sz w:val="20"/>
          <w:szCs w:val="24"/>
        </w:rPr>
        <w:t>Snapper</w:t>
      </w:r>
    </w:p>
    <w:p w:rsidR="00253039" w:rsidRPr="00253039" w:rsidRDefault="0034636B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Vermilion</w:t>
      </w:r>
      <w:r w:rsidR="00253039" w:rsidRPr="00253039">
        <w:rPr>
          <w:rFonts w:ascii="Times New Roman" w:hAnsi="Times New Roman" w:cs="Times New Roman"/>
          <w:sz w:val="20"/>
          <w:szCs w:val="24"/>
        </w:rPr>
        <w:t xml:space="preserve"> </w:t>
      </w:r>
      <w:r>
        <w:rPr>
          <w:rFonts w:ascii="Times New Roman" w:hAnsi="Times New Roman" w:cs="Times New Roman"/>
          <w:sz w:val="20"/>
          <w:szCs w:val="24"/>
        </w:rPr>
        <w:t>Snapper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Red grouper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Gag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Greater amberjack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Gray triggerfish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King mackerel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Spanish mackerel</w:t>
      </w:r>
    </w:p>
    <w:p w:rsidR="00253039" w:rsidRPr="00253039" w:rsidRDefault="00253039" w:rsidP="002530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Cobia</w:t>
      </w:r>
    </w:p>
    <w:p w:rsidR="00253039" w:rsidRPr="00253039" w:rsidRDefault="00253039" w:rsidP="00253039">
      <w:pPr>
        <w:rPr>
          <w:rFonts w:ascii="Times New Roman" w:hAnsi="Times New Roman" w:cs="Times New Roman"/>
          <w:sz w:val="20"/>
          <w:szCs w:val="24"/>
        </w:rPr>
        <w:sectPr w:rsidR="00253039" w:rsidRPr="00253039" w:rsidSect="0025303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9F5F74" w:rsidRDefault="009F5F74" w:rsidP="0040353B">
      <w:pPr>
        <w:rPr>
          <w:rFonts w:ascii="Times New Roman" w:hAnsi="Times New Roman" w:cs="Times New Roman"/>
          <w:sz w:val="20"/>
          <w:szCs w:val="24"/>
        </w:rPr>
      </w:pPr>
    </w:p>
    <w:p w:rsidR="009F5F74" w:rsidRDefault="00253039" w:rsidP="009F5F74">
      <w:pPr>
        <w:rPr>
          <w:rFonts w:ascii="Times New Roman" w:hAnsi="Times New Roman" w:cs="Times New Roman"/>
          <w:sz w:val="20"/>
          <w:szCs w:val="24"/>
        </w:rPr>
      </w:pPr>
      <w:r w:rsidRPr="00253039">
        <w:rPr>
          <w:rFonts w:ascii="Times New Roman" w:hAnsi="Times New Roman" w:cs="Times New Roman"/>
          <w:sz w:val="20"/>
          <w:szCs w:val="24"/>
        </w:rPr>
        <w:t>Due to staffing limitati</w:t>
      </w:r>
      <w:r w:rsidR="0040353B">
        <w:rPr>
          <w:rFonts w:ascii="Times New Roman" w:hAnsi="Times New Roman" w:cs="Times New Roman"/>
          <w:sz w:val="20"/>
          <w:szCs w:val="24"/>
        </w:rPr>
        <w:t>ons and conflicting commitments</w:t>
      </w:r>
      <w:r>
        <w:rPr>
          <w:rFonts w:ascii="Times New Roman" w:hAnsi="Times New Roman" w:cs="Times New Roman"/>
          <w:sz w:val="20"/>
          <w:szCs w:val="24"/>
        </w:rPr>
        <w:t xml:space="preserve"> it was not possible to complete </w:t>
      </w:r>
      <w:r w:rsidR="0040353B">
        <w:rPr>
          <w:rFonts w:ascii="Times New Roman" w:hAnsi="Times New Roman" w:cs="Times New Roman"/>
          <w:sz w:val="20"/>
          <w:szCs w:val="24"/>
        </w:rPr>
        <w:t xml:space="preserve">all of </w:t>
      </w:r>
      <w:r>
        <w:rPr>
          <w:rFonts w:ascii="Times New Roman" w:hAnsi="Times New Roman" w:cs="Times New Roman"/>
          <w:sz w:val="20"/>
          <w:szCs w:val="24"/>
        </w:rPr>
        <w:t>the work described above. However, in subsequent meetings with Council staff, the Science Center was able to negotiate a</w:t>
      </w:r>
      <w:r w:rsidR="0040353B">
        <w:rPr>
          <w:rFonts w:ascii="Times New Roman" w:hAnsi="Times New Roman" w:cs="Times New Roman"/>
          <w:sz w:val="20"/>
          <w:szCs w:val="24"/>
        </w:rPr>
        <w:t xml:space="preserve"> reduced task list. The Center agreed to give precedence to providing </w:t>
      </w:r>
      <w:r w:rsidR="00262103">
        <w:rPr>
          <w:rFonts w:ascii="Times New Roman" w:hAnsi="Times New Roman" w:cs="Times New Roman"/>
          <w:b/>
          <w:i/>
          <w:sz w:val="20"/>
          <w:szCs w:val="24"/>
        </w:rPr>
        <w:t>recreational</w:t>
      </w:r>
      <w:r w:rsidR="009F5F74">
        <w:rPr>
          <w:rFonts w:ascii="Times New Roman" w:hAnsi="Times New Roman" w:cs="Times New Roman"/>
          <w:sz w:val="20"/>
          <w:szCs w:val="24"/>
        </w:rPr>
        <w:t xml:space="preserve"> </w:t>
      </w:r>
      <w:r w:rsidR="0040353B">
        <w:rPr>
          <w:rFonts w:ascii="Times New Roman" w:hAnsi="Times New Roman" w:cs="Times New Roman"/>
          <w:sz w:val="20"/>
          <w:szCs w:val="24"/>
        </w:rPr>
        <w:t xml:space="preserve">discards in numbers and pounds for </w:t>
      </w:r>
      <w:r>
        <w:rPr>
          <w:rFonts w:ascii="Times New Roman" w:hAnsi="Times New Roman" w:cs="Times New Roman"/>
          <w:sz w:val="20"/>
          <w:szCs w:val="24"/>
        </w:rPr>
        <w:t>priority species</w:t>
      </w:r>
      <w:r w:rsidR="00262103">
        <w:rPr>
          <w:rFonts w:ascii="Times New Roman" w:hAnsi="Times New Roman" w:cs="Times New Roman"/>
          <w:sz w:val="20"/>
          <w:szCs w:val="24"/>
        </w:rPr>
        <w:t xml:space="preserve"> (i.e. Red Snapper, Gag Grouper, Greater Amberjack), which are supplied as a separate document</w:t>
      </w:r>
      <w:r w:rsidR="0040353B">
        <w:rPr>
          <w:rFonts w:ascii="Times New Roman" w:hAnsi="Times New Roman" w:cs="Times New Roman"/>
          <w:sz w:val="20"/>
          <w:szCs w:val="24"/>
        </w:rPr>
        <w:t xml:space="preserve">. </w:t>
      </w:r>
      <w:r w:rsidR="0034636B">
        <w:rPr>
          <w:rFonts w:ascii="Times New Roman" w:hAnsi="Times New Roman" w:cs="Times New Roman"/>
          <w:sz w:val="20"/>
          <w:szCs w:val="24"/>
        </w:rPr>
        <w:t>Vermilion</w:t>
      </w:r>
      <w:r w:rsidR="00DF682F">
        <w:rPr>
          <w:rFonts w:ascii="Times New Roman" w:hAnsi="Times New Roman" w:cs="Times New Roman"/>
          <w:sz w:val="20"/>
          <w:szCs w:val="24"/>
        </w:rPr>
        <w:t xml:space="preserve"> </w:t>
      </w:r>
      <w:r w:rsidR="0034636B">
        <w:rPr>
          <w:rFonts w:ascii="Times New Roman" w:hAnsi="Times New Roman" w:cs="Times New Roman"/>
          <w:sz w:val="20"/>
          <w:szCs w:val="24"/>
        </w:rPr>
        <w:t>Snapper</w:t>
      </w:r>
      <w:r w:rsidR="00C658CA">
        <w:rPr>
          <w:rFonts w:ascii="Times New Roman" w:hAnsi="Times New Roman" w:cs="Times New Roman"/>
          <w:sz w:val="20"/>
          <w:szCs w:val="24"/>
        </w:rPr>
        <w:t>, Re</w:t>
      </w:r>
      <w:r w:rsidR="0022203F">
        <w:rPr>
          <w:rFonts w:ascii="Times New Roman" w:hAnsi="Times New Roman" w:cs="Times New Roman"/>
          <w:sz w:val="20"/>
          <w:szCs w:val="24"/>
        </w:rPr>
        <w:t>d G</w:t>
      </w:r>
      <w:r w:rsidR="00C658CA">
        <w:rPr>
          <w:rFonts w:ascii="Times New Roman" w:hAnsi="Times New Roman" w:cs="Times New Roman"/>
          <w:sz w:val="20"/>
          <w:szCs w:val="24"/>
        </w:rPr>
        <w:t>rouper, and Gray T</w:t>
      </w:r>
      <w:r w:rsidR="00DF682F">
        <w:rPr>
          <w:rFonts w:ascii="Times New Roman" w:hAnsi="Times New Roman" w:cs="Times New Roman"/>
          <w:sz w:val="20"/>
          <w:szCs w:val="24"/>
        </w:rPr>
        <w:t>riggerf</w:t>
      </w:r>
      <w:r w:rsidR="00152725">
        <w:rPr>
          <w:rFonts w:ascii="Times New Roman" w:hAnsi="Times New Roman" w:cs="Times New Roman"/>
          <w:sz w:val="20"/>
          <w:szCs w:val="24"/>
        </w:rPr>
        <w:t>ish commercial discard</w:t>
      </w:r>
      <w:r w:rsidR="00C658CA">
        <w:rPr>
          <w:rFonts w:ascii="Times New Roman" w:hAnsi="Times New Roman" w:cs="Times New Roman"/>
          <w:sz w:val="20"/>
          <w:szCs w:val="24"/>
        </w:rPr>
        <w:t>s</w:t>
      </w:r>
      <w:r w:rsidR="00152725">
        <w:rPr>
          <w:rFonts w:ascii="Times New Roman" w:hAnsi="Times New Roman" w:cs="Times New Roman"/>
          <w:sz w:val="20"/>
          <w:szCs w:val="24"/>
        </w:rPr>
        <w:t xml:space="preserve"> estimated using a catch per unit effort </w:t>
      </w:r>
      <w:r w:rsidR="00BE4142">
        <w:rPr>
          <w:rFonts w:ascii="Times New Roman" w:hAnsi="Times New Roman" w:cs="Times New Roman"/>
          <w:sz w:val="20"/>
          <w:szCs w:val="24"/>
        </w:rPr>
        <w:t xml:space="preserve">(CPUE) </w:t>
      </w:r>
      <w:r w:rsidR="00152725">
        <w:rPr>
          <w:rFonts w:ascii="Times New Roman" w:hAnsi="Times New Roman" w:cs="Times New Roman"/>
          <w:sz w:val="20"/>
          <w:szCs w:val="24"/>
        </w:rPr>
        <w:t xml:space="preserve">expansion </w:t>
      </w:r>
      <w:r w:rsidR="00BE4142">
        <w:rPr>
          <w:rFonts w:ascii="Times New Roman" w:hAnsi="Times New Roman" w:cs="Times New Roman"/>
          <w:sz w:val="20"/>
          <w:szCs w:val="24"/>
        </w:rPr>
        <w:t>procedure</w:t>
      </w:r>
      <w:r w:rsidR="00152725">
        <w:rPr>
          <w:rFonts w:ascii="Times New Roman" w:hAnsi="Times New Roman" w:cs="Times New Roman"/>
          <w:sz w:val="20"/>
          <w:szCs w:val="24"/>
        </w:rPr>
        <w:t xml:space="preserve"> are presented here. E</w:t>
      </w:r>
      <w:r w:rsidR="00DF682F">
        <w:rPr>
          <w:rFonts w:ascii="Times New Roman" w:hAnsi="Times New Roman" w:cs="Times New Roman"/>
          <w:sz w:val="20"/>
          <w:szCs w:val="24"/>
        </w:rPr>
        <w:t xml:space="preserve">stimates of Red </w:t>
      </w:r>
      <w:r w:rsidR="0034636B">
        <w:rPr>
          <w:rFonts w:ascii="Times New Roman" w:hAnsi="Times New Roman" w:cs="Times New Roman"/>
          <w:sz w:val="20"/>
          <w:szCs w:val="24"/>
        </w:rPr>
        <w:t>Snapper</w:t>
      </w:r>
      <w:r w:rsidR="00DF682F">
        <w:rPr>
          <w:rFonts w:ascii="Times New Roman" w:hAnsi="Times New Roman" w:cs="Times New Roman"/>
          <w:sz w:val="20"/>
          <w:szCs w:val="24"/>
        </w:rPr>
        <w:t xml:space="preserve"> </w:t>
      </w:r>
      <w:r w:rsidR="00262103">
        <w:rPr>
          <w:rFonts w:ascii="Times New Roman" w:hAnsi="Times New Roman" w:cs="Times New Roman"/>
          <w:sz w:val="20"/>
          <w:szCs w:val="24"/>
        </w:rPr>
        <w:t xml:space="preserve">commercial </w:t>
      </w:r>
      <w:r w:rsidR="00DF682F">
        <w:rPr>
          <w:rFonts w:ascii="Times New Roman" w:hAnsi="Times New Roman" w:cs="Times New Roman"/>
          <w:sz w:val="20"/>
          <w:szCs w:val="24"/>
        </w:rPr>
        <w:t>discards</w:t>
      </w:r>
      <w:r w:rsidR="00BE4142">
        <w:rPr>
          <w:rFonts w:ascii="Times New Roman" w:hAnsi="Times New Roman" w:cs="Times New Roman"/>
          <w:sz w:val="20"/>
          <w:szCs w:val="24"/>
        </w:rPr>
        <w:t xml:space="preserve"> using similar methodology</w:t>
      </w:r>
      <w:r w:rsidR="00DF682F">
        <w:rPr>
          <w:rFonts w:ascii="Times New Roman" w:hAnsi="Times New Roman" w:cs="Times New Roman"/>
          <w:sz w:val="20"/>
          <w:szCs w:val="24"/>
        </w:rPr>
        <w:t xml:space="preserve"> </w:t>
      </w:r>
      <w:r w:rsidR="00152725">
        <w:rPr>
          <w:rFonts w:ascii="Times New Roman" w:hAnsi="Times New Roman" w:cs="Times New Roman"/>
          <w:sz w:val="20"/>
          <w:szCs w:val="24"/>
        </w:rPr>
        <w:t>are ongoing and will be supplied when available.</w:t>
      </w:r>
      <w:r w:rsidR="00DF682F">
        <w:rPr>
          <w:rFonts w:ascii="Times New Roman" w:hAnsi="Times New Roman" w:cs="Times New Roman"/>
          <w:sz w:val="20"/>
          <w:szCs w:val="24"/>
        </w:rPr>
        <w:t xml:space="preserve"> </w:t>
      </w:r>
      <w:r w:rsidR="000B0406">
        <w:rPr>
          <w:rFonts w:ascii="Times New Roman" w:hAnsi="Times New Roman" w:cs="Times New Roman"/>
          <w:sz w:val="20"/>
          <w:szCs w:val="24"/>
        </w:rPr>
        <w:t xml:space="preserve">The Council also requested </w:t>
      </w:r>
      <w:r w:rsidR="009F5F74">
        <w:rPr>
          <w:rFonts w:ascii="Times New Roman" w:hAnsi="Times New Roman" w:cs="Times New Roman"/>
          <w:sz w:val="20"/>
          <w:szCs w:val="24"/>
        </w:rPr>
        <w:t>a</w:t>
      </w:r>
      <w:r w:rsidR="009F5F74" w:rsidRPr="00253039">
        <w:rPr>
          <w:rFonts w:ascii="Times New Roman" w:hAnsi="Times New Roman" w:cs="Times New Roman"/>
          <w:sz w:val="20"/>
          <w:szCs w:val="24"/>
        </w:rPr>
        <w:t xml:space="preserve"> brief description of the methods, assumptions, and limitations associated with the use of these </w:t>
      </w:r>
      <w:r w:rsidR="000B0406">
        <w:rPr>
          <w:rFonts w:ascii="Times New Roman" w:hAnsi="Times New Roman" w:cs="Times New Roman"/>
          <w:sz w:val="20"/>
          <w:szCs w:val="24"/>
        </w:rPr>
        <w:t>estimates</w:t>
      </w:r>
      <w:r w:rsidR="000F3B24">
        <w:rPr>
          <w:rFonts w:ascii="Times New Roman" w:hAnsi="Times New Roman" w:cs="Times New Roman"/>
          <w:sz w:val="20"/>
          <w:szCs w:val="24"/>
        </w:rPr>
        <w:t>.</w:t>
      </w:r>
    </w:p>
    <w:p w:rsidR="009F5F74" w:rsidRDefault="009F5F74" w:rsidP="009F5F74">
      <w:pPr>
        <w:rPr>
          <w:rFonts w:ascii="Times New Roman" w:hAnsi="Times New Roman" w:cs="Times New Roman"/>
          <w:b/>
          <w:sz w:val="20"/>
          <w:szCs w:val="24"/>
        </w:rPr>
      </w:pPr>
      <w:r w:rsidRPr="009F5F74">
        <w:rPr>
          <w:rFonts w:ascii="Times New Roman" w:hAnsi="Times New Roman" w:cs="Times New Roman"/>
          <w:b/>
          <w:sz w:val="20"/>
          <w:szCs w:val="24"/>
        </w:rPr>
        <w:t>METHODS</w:t>
      </w:r>
    </w:p>
    <w:p w:rsidR="000F3B24" w:rsidRDefault="00BE4142" w:rsidP="000F3B24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T</w:t>
      </w:r>
      <w:r w:rsidR="009F5F74">
        <w:rPr>
          <w:rFonts w:ascii="Times New Roman" w:hAnsi="Times New Roman" w:cs="Times New Roman"/>
          <w:sz w:val="20"/>
          <w:szCs w:val="24"/>
        </w:rPr>
        <w:t xml:space="preserve">he estimates provided here are </w:t>
      </w:r>
      <w:r w:rsidR="008B44DE">
        <w:rPr>
          <w:rFonts w:ascii="Times New Roman" w:hAnsi="Times New Roman" w:cs="Times New Roman"/>
          <w:sz w:val="20"/>
          <w:szCs w:val="24"/>
        </w:rPr>
        <w:t xml:space="preserve">calculated using methods </w:t>
      </w:r>
      <w:r w:rsidR="009F5F74">
        <w:rPr>
          <w:rFonts w:ascii="Times New Roman" w:hAnsi="Times New Roman" w:cs="Times New Roman"/>
          <w:sz w:val="20"/>
          <w:szCs w:val="24"/>
        </w:rPr>
        <w:t>consistent with decisions made for the most recent assessment</w:t>
      </w:r>
      <w:r w:rsidR="000B0406">
        <w:rPr>
          <w:rFonts w:ascii="Times New Roman" w:hAnsi="Times New Roman" w:cs="Times New Roman"/>
          <w:sz w:val="20"/>
          <w:szCs w:val="24"/>
        </w:rPr>
        <w:t xml:space="preserve"> of </w:t>
      </w:r>
      <w:r w:rsidR="0022203F">
        <w:rPr>
          <w:rFonts w:ascii="Times New Roman" w:hAnsi="Times New Roman" w:cs="Times New Roman"/>
          <w:sz w:val="20"/>
          <w:szCs w:val="24"/>
        </w:rPr>
        <w:t>each species</w:t>
      </w:r>
      <w:r w:rsidR="009F5F74">
        <w:rPr>
          <w:rFonts w:ascii="Times New Roman" w:hAnsi="Times New Roman" w:cs="Times New Roman"/>
          <w:sz w:val="20"/>
          <w:szCs w:val="24"/>
        </w:rPr>
        <w:t xml:space="preserve">. </w:t>
      </w:r>
      <w:r>
        <w:rPr>
          <w:rFonts w:ascii="Times New Roman" w:hAnsi="Times New Roman" w:cs="Times New Roman"/>
          <w:sz w:val="20"/>
          <w:szCs w:val="24"/>
        </w:rPr>
        <w:t xml:space="preserve">The general methodology </w:t>
      </w:r>
      <w:r w:rsidR="0034636B">
        <w:rPr>
          <w:rFonts w:ascii="Times New Roman" w:hAnsi="Times New Roman" w:cs="Times New Roman"/>
          <w:sz w:val="20"/>
          <w:szCs w:val="24"/>
        </w:rPr>
        <w:t xml:space="preserve">for the reported species </w:t>
      </w:r>
      <w:r>
        <w:rPr>
          <w:rFonts w:ascii="Times New Roman" w:hAnsi="Times New Roman" w:cs="Times New Roman"/>
          <w:sz w:val="20"/>
          <w:szCs w:val="24"/>
        </w:rPr>
        <w:t xml:space="preserve">follows a CPUE expansion approach, where strata-specific CPUE data collected by the Reef Fish Observer Program </w:t>
      </w:r>
      <w:r w:rsidR="00153F3D">
        <w:rPr>
          <w:rFonts w:ascii="Times New Roman" w:hAnsi="Times New Roman" w:cs="Times New Roman"/>
          <w:sz w:val="20"/>
          <w:szCs w:val="24"/>
        </w:rPr>
        <w:t xml:space="preserve">(RFOP) </w:t>
      </w:r>
      <w:r w:rsidR="000B1949">
        <w:rPr>
          <w:rFonts w:ascii="Times New Roman" w:hAnsi="Times New Roman" w:cs="Times New Roman"/>
          <w:sz w:val="20"/>
          <w:szCs w:val="24"/>
        </w:rPr>
        <w:t>are</w:t>
      </w:r>
      <w:r>
        <w:rPr>
          <w:rFonts w:ascii="Times New Roman" w:hAnsi="Times New Roman" w:cs="Times New Roman"/>
          <w:sz w:val="20"/>
          <w:szCs w:val="24"/>
        </w:rPr>
        <w:t xml:space="preserve"> expanded by the total logbook effort </w:t>
      </w:r>
      <w:r w:rsidR="00153F3D">
        <w:rPr>
          <w:rFonts w:ascii="Times New Roman" w:hAnsi="Times New Roman" w:cs="Times New Roman"/>
          <w:sz w:val="20"/>
          <w:szCs w:val="24"/>
        </w:rPr>
        <w:t>within the</w:t>
      </w:r>
      <w:r>
        <w:rPr>
          <w:rFonts w:ascii="Times New Roman" w:hAnsi="Times New Roman" w:cs="Times New Roman"/>
          <w:sz w:val="20"/>
          <w:szCs w:val="24"/>
        </w:rPr>
        <w:t xml:space="preserve"> strat</w:t>
      </w:r>
      <w:r w:rsidR="0022203F">
        <w:rPr>
          <w:rFonts w:ascii="Times New Roman" w:hAnsi="Times New Roman" w:cs="Times New Roman"/>
          <w:sz w:val="20"/>
          <w:szCs w:val="24"/>
        </w:rPr>
        <w:t>um</w:t>
      </w:r>
      <w:r w:rsidR="000B1949">
        <w:rPr>
          <w:rFonts w:ascii="Times New Roman" w:hAnsi="Times New Roman" w:cs="Times New Roman"/>
          <w:sz w:val="20"/>
          <w:szCs w:val="24"/>
        </w:rPr>
        <w:t xml:space="preserve"> for each reported disposition</w:t>
      </w:r>
      <w:r w:rsidR="00C658CA">
        <w:rPr>
          <w:rFonts w:ascii="Times New Roman" w:hAnsi="Times New Roman" w:cs="Times New Roman"/>
          <w:sz w:val="20"/>
          <w:szCs w:val="24"/>
        </w:rPr>
        <w:t xml:space="preserve"> (Smith et al. 2018, 2019)</w:t>
      </w:r>
      <w:r>
        <w:rPr>
          <w:rFonts w:ascii="Times New Roman" w:hAnsi="Times New Roman" w:cs="Times New Roman"/>
          <w:sz w:val="20"/>
          <w:szCs w:val="24"/>
        </w:rPr>
        <w:t>.</w:t>
      </w:r>
      <w:r w:rsidR="00153F3D">
        <w:rPr>
          <w:rFonts w:ascii="Times New Roman" w:hAnsi="Times New Roman" w:cs="Times New Roman"/>
          <w:sz w:val="20"/>
          <w:szCs w:val="24"/>
        </w:rPr>
        <w:t xml:space="preserve"> </w:t>
      </w:r>
      <w:r w:rsidR="0022203F">
        <w:rPr>
          <w:rFonts w:ascii="Times New Roman" w:hAnsi="Times New Roman" w:cs="Times New Roman"/>
          <w:sz w:val="20"/>
          <w:szCs w:val="24"/>
        </w:rPr>
        <w:t xml:space="preserve">RFOP data collection began in 2006; data from 2007 – </w:t>
      </w:r>
      <w:r w:rsidR="008911CA">
        <w:rPr>
          <w:rFonts w:ascii="Times New Roman" w:hAnsi="Times New Roman" w:cs="Times New Roman"/>
          <w:sz w:val="20"/>
          <w:szCs w:val="24"/>
        </w:rPr>
        <w:t>present</w:t>
      </w:r>
      <w:r w:rsidR="0022203F">
        <w:rPr>
          <w:rFonts w:ascii="Times New Roman" w:hAnsi="Times New Roman" w:cs="Times New Roman"/>
          <w:sz w:val="20"/>
          <w:szCs w:val="24"/>
        </w:rPr>
        <w:t xml:space="preserve"> are used</w:t>
      </w:r>
      <w:r w:rsidR="008911CA">
        <w:rPr>
          <w:rFonts w:ascii="Times New Roman" w:hAnsi="Times New Roman" w:cs="Times New Roman"/>
          <w:sz w:val="20"/>
          <w:szCs w:val="24"/>
        </w:rPr>
        <w:t>.</w:t>
      </w:r>
      <w:r w:rsidR="0022203F">
        <w:rPr>
          <w:rFonts w:ascii="Times New Roman" w:hAnsi="Times New Roman" w:cs="Times New Roman"/>
          <w:sz w:val="20"/>
          <w:szCs w:val="24"/>
        </w:rPr>
        <w:t xml:space="preserve"> </w:t>
      </w:r>
      <w:r w:rsidR="00575B21">
        <w:rPr>
          <w:rFonts w:ascii="Times New Roman" w:hAnsi="Times New Roman" w:cs="Times New Roman"/>
          <w:sz w:val="20"/>
          <w:szCs w:val="24"/>
        </w:rPr>
        <w:t>Comparison of estimated catch from the CPUE expansion procedure against logbook landings provide</w:t>
      </w:r>
      <w:r w:rsidR="0022203F">
        <w:rPr>
          <w:rFonts w:ascii="Times New Roman" w:hAnsi="Times New Roman" w:cs="Times New Roman"/>
          <w:sz w:val="20"/>
          <w:szCs w:val="24"/>
        </w:rPr>
        <w:t>s</w:t>
      </w:r>
      <w:r w:rsidR="00575B21">
        <w:rPr>
          <w:rFonts w:ascii="Times New Roman" w:hAnsi="Times New Roman" w:cs="Times New Roman"/>
          <w:sz w:val="20"/>
          <w:szCs w:val="24"/>
        </w:rPr>
        <w:t xml:space="preserve"> method validation.</w:t>
      </w:r>
    </w:p>
    <w:p w:rsidR="002E721D" w:rsidRDefault="000F3B24" w:rsidP="002E721D">
      <w:pPr>
        <w:rPr>
          <w:rFonts w:ascii="Times New Roman" w:hAnsi="Times New Roman" w:cs="Times New Roman"/>
          <w:sz w:val="20"/>
          <w:szCs w:val="24"/>
        </w:rPr>
      </w:pPr>
      <w:r w:rsidRPr="000F3B24">
        <w:rPr>
          <w:rFonts w:ascii="Times New Roman" w:hAnsi="Times New Roman" w:cs="Times New Roman"/>
          <w:sz w:val="20"/>
          <w:szCs w:val="24"/>
        </w:rPr>
        <w:t xml:space="preserve">The principal assumptions and limitations </w:t>
      </w:r>
      <w:r w:rsidR="00153F3D">
        <w:rPr>
          <w:rFonts w:ascii="Times New Roman" w:hAnsi="Times New Roman" w:cs="Times New Roman"/>
          <w:sz w:val="20"/>
          <w:szCs w:val="24"/>
        </w:rPr>
        <w:t>are similar for the three species reported</w:t>
      </w:r>
      <w:r w:rsidR="002E721D">
        <w:rPr>
          <w:rFonts w:ascii="Times New Roman" w:hAnsi="Times New Roman" w:cs="Times New Roman"/>
          <w:sz w:val="20"/>
          <w:szCs w:val="24"/>
        </w:rPr>
        <w:t>.</w:t>
      </w:r>
    </w:p>
    <w:p w:rsidR="00BE4142" w:rsidRPr="002C23A1" w:rsidRDefault="00BE4142" w:rsidP="00BE4142">
      <w:pPr>
        <w:rPr>
          <w:rFonts w:ascii="Times New Roman" w:hAnsi="Times New Roman" w:cs="Times New Roman"/>
          <w:sz w:val="20"/>
          <w:szCs w:val="24"/>
        </w:rPr>
      </w:pPr>
      <w:r w:rsidRPr="002C23A1">
        <w:rPr>
          <w:rFonts w:ascii="Times New Roman" w:hAnsi="Times New Roman" w:cs="Times New Roman"/>
          <w:sz w:val="20"/>
          <w:szCs w:val="24"/>
        </w:rPr>
        <w:t>Assumptions:</w:t>
      </w:r>
    </w:p>
    <w:p w:rsidR="00BE4142" w:rsidRDefault="00BE4142" w:rsidP="00BE414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The </w:t>
      </w:r>
      <w:r w:rsidR="0034636B">
        <w:rPr>
          <w:rFonts w:ascii="Times New Roman" w:hAnsi="Times New Roman" w:cs="Times New Roman"/>
          <w:sz w:val="20"/>
          <w:szCs w:val="24"/>
        </w:rPr>
        <w:t xml:space="preserve">underlying </w:t>
      </w:r>
      <w:r>
        <w:rPr>
          <w:rFonts w:ascii="Times New Roman" w:hAnsi="Times New Roman" w:cs="Times New Roman"/>
          <w:sz w:val="20"/>
          <w:szCs w:val="24"/>
        </w:rPr>
        <w:t xml:space="preserve">premise of the </w:t>
      </w:r>
      <w:r w:rsidR="00153F3D">
        <w:rPr>
          <w:rFonts w:ascii="Times New Roman" w:hAnsi="Times New Roman" w:cs="Times New Roman"/>
          <w:sz w:val="20"/>
          <w:szCs w:val="24"/>
        </w:rPr>
        <w:t>CPUE expansion method is that the Reef Fish Observer Program is a representative sample of the total fleet as estimated by the logbook data, and that comparable effort variables exist in both data sets</w:t>
      </w:r>
      <w:r w:rsidR="00C658CA">
        <w:rPr>
          <w:rFonts w:ascii="Times New Roman" w:hAnsi="Times New Roman" w:cs="Times New Roman"/>
          <w:sz w:val="20"/>
          <w:szCs w:val="24"/>
        </w:rPr>
        <w:t xml:space="preserve"> (Smith et al. 2018)</w:t>
      </w:r>
      <w:r w:rsidR="00153F3D">
        <w:rPr>
          <w:rFonts w:ascii="Times New Roman" w:hAnsi="Times New Roman" w:cs="Times New Roman"/>
          <w:sz w:val="20"/>
          <w:szCs w:val="24"/>
        </w:rPr>
        <w:t>.</w:t>
      </w:r>
    </w:p>
    <w:p w:rsidR="00BE4142" w:rsidRDefault="00575B21" w:rsidP="00153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Estimation of trip-level catch and effort from sub-trip level data in the RFOP are appropriate.</w:t>
      </w:r>
    </w:p>
    <w:p w:rsidR="00E7378E" w:rsidRPr="00153F3D" w:rsidRDefault="00E7378E" w:rsidP="00153F3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This method assumes that RFOP observers are able to accurately enumerate all discards and kept fish from sampled sets.</w:t>
      </w:r>
    </w:p>
    <w:p w:rsidR="00BE4142" w:rsidRDefault="00BE4142" w:rsidP="00BE414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Limitations: </w:t>
      </w:r>
    </w:p>
    <w:p w:rsidR="00BE4142" w:rsidRPr="0034636B" w:rsidRDefault="0034636B" w:rsidP="00BE4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0"/>
        </w:rPr>
        <w:lastRenderedPageBreak/>
        <w:t>The CPUE expansion method is not appropriate for species where the RFOP sampling is not representative of the species fleet, either in space or in time.</w:t>
      </w:r>
    </w:p>
    <w:p w:rsidR="0034636B" w:rsidRPr="002E721D" w:rsidRDefault="00575B21" w:rsidP="00BE414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Regulatory changes for periods preceding the RFOP preclude current described methods.</w:t>
      </w:r>
    </w:p>
    <w:p w:rsidR="002E721D" w:rsidRPr="008B44DE" w:rsidRDefault="008B44DE" w:rsidP="002E721D">
      <w:pPr>
        <w:rPr>
          <w:rFonts w:ascii="Times New Roman" w:hAnsi="Times New Roman" w:cs="Times New Roman"/>
          <w:b/>
          <w:sz w:val="20"/>
          <w:szCs w:val="24"/>
        </w:rPr>
      </w:pPr>
      <w:r w:rsidRPr="008B44DE">
        <w:rPr>
          <w:rFonts w:ascii="Times New Roman" w:hAnsi="Times New Roman" w:cs="Times New Roman"/>
          <w:b/>
          <w:sz w:val="20"/>
          <w:szCs w:val="24"/>
        </w:rPr>
        <w:t>RESULTS</w:t>
      </w:r>
    </w:p>
    <w:p w:rsidR="008B44DE" w:rsidRPr="008B44DE" w:rsidRDefault="008B44DE" w:rsidP="008B44DE">
      <w:pPr>
        <w:spacing w:after="0"/>
        <w:rPr>
          <w:rFonts w:ascii="Times New Roman" w:hAnsi="Times New Roman" w:cs="Times New Roman"/>
          <w:i/>
          <w:sz w:val="20"/>
          <w:szCs w:val="24"/>
        </w:rPr>
      </w:pPr>
      <w:r>
        <w:rPr>
          <w:rFonts w:ascii="Times New Roman" w:hAnsi="Times New Roman" w:cs="Times New Roman"/>
          <w:i/>
          <w:sz w:val="20"/>
          <w:szCs w:val="24"/>
        </w:rPr>
        <w:t>Red Grouper</w:t>
      </w:r>
    </w:p>
    <w:p w:rsidR="008B44DE" w:rsidRDefault="008B44DE" w:rsidP="008B44DE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Red Grouper discard estimates in weight (whole pounds) and number for 2005 – 2017 are presented in </w:t>
      </w:r>
      <w:r w:rsidRPr="008B44DE">
        <w:rPr>
          <w:rFonts w:ascii="Times New Roman" w:hAnsi="Times New Roman" w:cs="Times New Roman"/>
          <w:b/>
          <w:sz w:val="20"/>
          <w:szCs w:val="24"/>
        </w:rPr>
        <w:t>Table 1</w:t>
      </w:r>
      <w:r>
        <w:rPr>
          <w:rFonts w:ascii="Times New Roman" w:hAnsi="Times New Roman" w:cs="Times New Roman"/>
          <w:sz w:val="20"/>
          <w:szCs w:val="24"/>
        </w:rPr>
        <w:t>. Sufficient data are present in both bottom longline and vertical line sectors to allow discard estimation in both sectors. As these commercial discard estimates are from current/ongoing assessments with 2017 as a terminal year, estimates for 2018 are not available.</w:t>
      </w:r>
    </w:p>
    <w:p w:rsidR="008B44DE" w:rsidRDefault="008B44DE" w:rsidP="002E721D">
      <w:pPr>
        <w:rPr>
          <w:rFonts w:ascii="Times New Roman" w:hAnsi="Times New Roman" w:cs="Times New Roman"/>
          <w:sz w:val="20"/>
          <w:szCs w:val="24"/>
        </w:rPr>
      </w:pPr>
    </w:p>
    <w:p w:rsidR="00BB6B93" w:rsidRDefault="008B44DE" w:rsidP="008B44DE">
      <w:p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8B44DE">
        <w:rPr>
          <w:rFonts w:ascii="Times New Roman" w:hAnsi="Times New Roman" w:cs="Times New Roman"/>
          <w:i/>
          <w:sz w:val="20"/>
          <w:szCs w:val="24"/>
        </w:rPr>
        <w:t>Gray Triggerfish</w:t>
      </w:r>
    </w:p>
    <w:p w:rsidR="008B44DE" w:rsidRDefault="008B44DE" w:rsidP="008B44DE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Gray Triggerfish discards were calculated separately for Eastern (shrimp statistical zones 1 – 12) and Western (shrimp statistical zones 13 – 21) </w:t>
      </w:r>
      <w:r w:rsidR="00C658CA">
        <w:rPr>
          <w:rFonts w:ascii="Times New Roman" w:hAnsi="Times New Roman" w:cs="Times New Roman"/>
          <w:sz w:val="20"/>
          <w:szCs w:val="24"/>
        </w:rPr>
        <w:t xml:space="preserve">spatial strata </w:t>
      </w:r>
      <w:r w:rsidR="0022203F">
        <w:rPr>
          <w:rFonts w:ascii="Times New Roman" w:hAnsi="Times New Roman" w:cs="Times New Roman"/>
          <w:sz w:val="20"/>
          <w:szCs w:val="24"/>
        </w:rPr>
        <w:t>(</w:t>
      </w:r>
      <w:r w:rsidR="0022203F" w:rsidRPr="0022203F">
        <w:rPr>
          <w:rFonts w:ascii="Times New Roman" w:hAnsi="Times New Roman" w:cs="Times New Roman"/>
          <w:b/>
          <w:sz w:val="20"/>
          <w:szCs w:val="24"/>
        </w:rPr>
        <w:t>Figure 1</w:t>
      </w:r>
      <w:r w:rsidR="0022203F">
        <w:rPr>
          <w:rFonts w:ascii="Times New Roman" w:hAnsi="Times New Roman" w:cs="Times New Roman"/>
          <w:sz w:val="20"/>
          <w:szCs w:val="24"/>
        </w:rPr>
        <w:t xml:space="preserve">) </w:t>
      </w:r>
      <w:r>
        <w:rPr>
          <w:rFonts w:ascii="Times New Roman" w:hAnsi="Times New Roman" w:cs="Times New Roman"/>
          <w:sz w:val="20"/>
          <w:szCs w:val="24"/>
        </w:rPr>
        <w:t>for the vertical line sector from 2005 – 2017 (</w:t>
      </w:r>
      <w:r>
        <w:rPr>
          <w:rFonts w:ascii="Times New Roman" w:hAnsi="Times New Roman" w:cs="Times New Roman"/>
          <w:b/>
          <w:sz w:val="20"/>
          <w:szCs w:val="24"/>
        </w:rPr>
        <w:t>Table 2)</w:t>
      </w:r>
      <w:r>
        <w:rPr>
          <w:rFonts w:ascii="Times New Roman" w:hAnsi="Times New Roman" w:cs="Times New Roman"/>
          <w:sz w:val="20"/>
          <w:szCs w:val="24"/>
        </w:rPr>
        <w:t xml:space="preserve">. Insufficient data exist for the bottom longline sector. </w:t>
      </w:r>
      <w:r w:rsidR="00BC2D8F">
        <w:rPr>
          <w:rFonts w:ascii="Times New Roman" w:hAnsi="Times New Roman" w:cs="Times New Roman"/>
          <w:sz w:val="20"/>
          <w:szCs w:val="24"/>
        </w:rPr>
        <w:t>Additionally, low</w:t>
      </w:r>
      <w:r w:rsidR="00C658CA">
        <w:rPr>
          <w:rFonts w:ascii="Times New Roman" w:hAnsi="Times New Roman" w:cs="Times New Roman"/>
          <w:sz w:val="20"/>
          <w:szCs w:val="24"/>
        </w:rPr>
        <w:t xml:space="preserve"> sample size for the Western stratum necessitated an imputation procedure (Smith et al. 2019). </w:t>
      </w:r>
      <w:r>
        <w:rPr>
          <w:rFonts w:ascii="Times New Roman" w:hAnsi="Times New Roman" w:cs="Times New Roman"/>
          <w:sz w:val="20"/>
          <w:szCs w:val="24"/>
        </w:rPr>
        <w:t>As these commercial discard estimates are from current/ongoing assessments with 2017 as a terminal year, estimates for 2018 are not available.</w:t>
      </w:r>
    </w:p>
    <w:p w:rsidR="008911CA" w:rsidRDefault="008911CA" w:rsidP="008B44DE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8911CA" w:rsidRDefault="008911CA" w:rsidP="008B44DE">
      <w:pPr>
        <w:spacing w:after="0"/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 xml:space="preserve">Gray Triggerfish discards increased significantly in both spatial strata beginning in 2009. This increase can be largely attributed to effects of management changes. </w:t>
      </w:r>
      <w:r w:rsidRPr="008911CA">
        <w:rPr>
          <w:rFonts w:ascii="Times New Roman" w:hAnsi="Times New Roman" w:cs="Times New Roman"/>
          <w:sz w:val="20"/>
          <w:szCs w:val="24"/>
        </w:rPr>
        <w:t>Minimum size increased in July 2008 from 12 inches total length (270 mm fork length) to 14 inches fork length (356 mm</w:t>
      </w:r>
      <w:r w:rsidR="008E7156">
        <w:rPr>
          <w:rFonts w:ascii="Times New Roman" w:hAnsi="Times New Roman" w:cs="Times New Roman"/>
          <w:sz w:val="20"/>
          <w:szCs w:val="24"/>
        </w:rPr>
        <w:t xml:space="preserve"> fork length</w:t>
      </w:r>
      <w:bookmarkStart w:id="0" w:name="_GoBack"/>
      <w:bookmarkEnd w:id="0"/>
      <w:r w:rsidRPr="008911CA">
        <w:rPr>
          <w:rFonts w:ascii="Times New Roman" w:hAnsi="Times New Roman" w:cs="Times New Roman"/>
          <w:sz w:val="20"/>
          <w:szCs w:val="24"/>
        </w:rPr>
        <w:t>). Beginning in 2010, a seasonal closure went into effect for all areas during the months of June and July.</w:t>
      </w:r>
      <w:r>
        <w:rPr>
          <w:rFonts w:ascii="Times New Roman" w:hAnsi="Times New Roman" w:cs="Times New Roman"/>
          <w:sz w:val="20"/>
          <w:szCs w:val="24"/>
        </w:rPr>
        <w:t xml:space="preserve"> </w:t>
      </w:r>
      <w:r w:rsidRPr="00E7378E">
        <w:rPr>
          <w:rFonts w:ascii="Times New Roman" w:hAnsi="Times New Roman" w:cs="Times New Roman"/>
          <w:sz w:val="20"/>
          <w:szCs w:val="24"/>
        </w:rPr>
        <w:t>In 2012, an Annual Catch Limit (ACL) was enacted for GOM gray triggerfish, resulting in closures in 2012 (July 1, 2012 – Dec. 31, 2012) and 2017 (Nov. 17, 2017 – Dec. 31, 2017). Additionally, in 2013 a trip limit of 12 fish per boat per day went into effect.</w:t>
      </w:r>
    </w:p>
    <w:p w:rsidR="008B44DE" w:rsidRDefault="008B44DE" w:rsidP="008B44DE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8B44DE" w:rsidRPr="00C658CA" w:rsidRDefault="008B44DE" w:rsidP="008B44DE">
      <w:pPr>
        <w:spacing w:after="0"/>
        <w:rPr>
          <w:rFonts w:ascii="Times New Roman" w:hAnsi="Times New Roman" w:cs="Times New Roman"/>
          <w:i/>
          <w:sz w:val="20"/>
          <w:szCs w:val="24"/>
        </w:rPr>
      </w:pPr>
      <w:r w:rsidRPr="00C658CA">
        <w:rPr>
          <w:rFonts w:ascii="Times New Roman" w:hAnsi="Times New Roman" w:cs="Times New Roman"/>
          <w:i/>
          <w:sz w:val="20"/>
          <w:szCs w:val="24"/>
        </w:rPr>
        <w:t>Vermilion Snapper</w:t>
      </w:r>
    </w:p>
    <w:p w:rsidR="00BC2D8F" w:rsidRDefault="00BC2D8F" w:rsidP="00BC2D8F">
      <w:pPr>
        <w:rPr>
          <w:rFonts w:ascii="Times New Roman" w:hAnsi="Times New Roman" w:cs="Times New Roman"/>
          <w:sz w:val="20"/>
          <w:szCs w:val="24"/>
        </w:rPr>
      </w:pPr>
      <w:r>
        <w:rPr>
          <w:rFonts w:ascii="Times New Roman" w:hAnsi="Times New Roman" w:cs="Times New Roman"/>
          <w:sz w:val="20"/>
          <w:szCs w:val="24"/>
        </w:rPr>
        <w:t>Vermilion Snapper</w:t>
      </w:r>
      <w:r w:rsidR="008B44DE">
        <w:rPr>
          <w:rFonts w:ascii="Times New Roman" w:hAnsi="Times New Roman" w:cs="Times New Roman"/>
          <w:sz w:val="20"/>
          <w:szCs w:val="24"/>
        </w:rPr>
        <w:t xml:space="preserve"> discards were calculated separately for Eastern (shrimp statistical zones 1 – 12) and Western (shrimp statistical zones 13 – 21) </w:t>
      </w:r>
      <w:r w:rsidR="00C658CA">
        <w:rPr>
          <w:rFonts w:ascii="Times New Roman" w:hAnsi="Times New Roman" w:cs="Times New Roman"/>
          <w:sz w:val="20"/>
          <w:szCs w:val="24"/>
        </w:rPr>
        <w:t xml:space="preserve">spatial strata </w:t>
      </w:r>
      <w:r w:rsidR="0022203F">
        <w:rPr>
          <w:rFonts w:ascii="Times New Roman" w:hAnsi="Times New Roman" w:cs="Times New Roman"/>
          <w:sz w:val="20"/>
          <w:szCs w:val="24"/>
        </w:rPr>
        <w:t>(</w:t>
      </w:r>
      <w:r w:rsidR="0022203F" w:rsidRPr="0022203F">
        <w:rPr>
          <w:rFonts w:ascii="Times New Roman" w:hAnsi="Times New Roman" w:cs="Times New Roman"/>
          <w:b/>
          <w:sz w:val="20"/>
          <w:szCs w:val="24"/>
        </w:rPr>
        <w:t>Figure 1</w:t>
      </w:r>
      <w:r w:rsidR="0022203F">
        <w:rPr>
          <w:rFonts w:ascii="Times New Roman" w:hAnsi="Times New Roman" w:cs="Times New Roman"/>
          <w:sz w:val="20"/>
          <w:szCs w:val="24"/>
        </w:rPr>
        <w:t xml:space="preserve">) </w:t>
      </w:r>
      <w:r w:rsidR="008B44DE">
        <w:rPr>
          <w:rFonts w:ascii="Times New Roman" w:hAnsi="Times New Roman" w:cs="Times New Roman"/>
          <w:sz w:val="20"/>
          <w:szCs w:val="24"/>
        </w:rPr>
        <w:t>for the vertical line sector from 2007 – 2017 (</w:t>
      </w:r>
      <w:r w:rsidR="00A9200A">
        <w:rPr>
          <w:rFonts w:ascii="Times New Roman" w:hAnsi="Times New Roman" w:cs="Times New Roman"/>
          <w:b/>
          <w:sz w:val="20"/>
          <w:szCs w:val="24"/>
        </w:rPr>
        <w:t>Table 3</w:t>
      </w:r>
      <w:r w:rsidR="008B44DE">
        <w:rPr>
          <w:rFonts w:ascii="Times New Roman" w:hAnsi="Times New Roman" w:cs="Times New Roman"/>
          <w:b/>
          <w:sz w:val="20"/>
          <w:szCs w:val="24"/>
        </w:rPr>
        <w:t>)</w:t>
      </w:r>
      <w:r w:rsidR="008B44DE">
        <w:rPr>
          <w:rFonts w:ascii="Times New Roman" w:hAnsi="Times New Roman" w:cs="Times New Roman"/>
          <w:sz w:val="20"/>
          <w:szCs w:val="24"/>
        </w:rPr>
        <w:t xml:space="preserve">. Insufficient data exist for the bottom longline sector. As these commercial discard estimates are from current/ongoing assessments with 2017 as a terminal year, estimates for 2018 are not available. </w:t>
      </w:r>
      <w:r>
        <w:rPr>
          <w:rFonts w:ascii="Times New Roman" w:hAnsi="Times New Roman" w:cs="Times New Roman"/>
          <w:sz w:val="20"/>
          <w:szCs w:val="24"/>
        </w:rPr>
        <w:t>Additionally, discard estimation for Vermilion Snapper is in progress and results are not available for periods prior to the RFOP</w:t>
      </w:r>
      <w:r w:rsidR="0022203F">
        <w:rPr>
          <w:rFonts w:ascii="Times New Roman" w:hAnsi="Times New Roman" w:cs="Times New Roman"/>
          <w:sz w:val="20"/>
          <w:szCs w:val="24"/>
        </w:rPr>
        <w:t xml:space="preserve"> (2005 – 2006)</w:t>
      </w:r>
      <w:r>
        <w:rPr>
          <w:rFonts w:ascii="Times New Roman" w:hAnsi="Times New Roman" w:cs="Times New Roman"/>
          <w:sz w:val="20"/>
          <w:szCs w:val="24"/>
        </w:rPr>
        <w:t xml:space="preserve">; data from 2007 – 2017 are still being reviewed and should be considered preliminary. </w:t>
      </w:r>
    </w:p>
    <w:p w:rsidR="008B44DE" w:rsidRPr="008B44DE" w:rsidRDefault="008B44DE" w:rsidP="008B44DE">
      <w:pPr>
        <w:spacing w:after="0"/>
        <w:rPr>
          <w:rFonts w:ascii="Times New Roman" w:hAnsi="Times New Roman" w:cs="Times New Roman"/>
          <w:b/>
          <w:sz w:val="20"/>
          <w:szCs w:val="24"/>
        </w:rPr>
      </w:pPr>
    </w:p>
    <w:p w:rsidR="008B44DE" w:rsidRDefault="008B44DE" w:rsidP="008B44DE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8B44DE" w:rsidRPr="008B44DE" w:rsidRDefault="008B44DE" w:rsidP="008B44DE">
      <w:pPr>
        <w:spacing w:after="0"/>
        <w:rPr>
          <w:rFonts w:ascii="Times New Roman" w:hAnsi="Times New Roman" w:cs="Times New Roman"/>
          <w:sz w:val="20"/>
          <w:szCs w:val="24"/>
        </w:rPr>
      </w:pPr>
    </w:p>
    <w:p w:rsidR="00396EFC" w:rsidRPr="0034636B" w:rsidRDefault="00FF0F8B" w:rsidP="00396EFC">
      <w:pPr>
        <w:rPr>
          <w:rFonts w:ascii="Times New Roman" w:hAnsi="Times New Roman" w:cs="Times New Roman"/>
          <w:sz w:val="20"/>
          <w:szCs w:val="24"/>
        </w:rPr>
      </w:pPr>
      <w:r w:rsidRPr="008B44DE">
        <w:rPr>
          <w:rFonts w:ascii="Times New Roman" w:hAnsi="Times New Roman" w:cs="Times New Roman"/>
          <w:b/>
          <w:sz w:val="20"/>
          <w:szCs w:val="24"/>
        </w:rPr>
        <w:t>REFERENCES</w:t>
      </w:r>
      <w:r w:rsidR="00396EFC" w:rsidRPr="0034636B">
        <w:rPr>
          <w:rFonts w:ascii="Times New Roman" w:hAnsi="Times New Roman" w:cs="Times New Roman"/>
          <w:sz w:val="20"/>
          <w:szCs w:val="24"/>
        </w:rPr>
        <w:t>:</w:t>
      </w:r>
    </w:p>
    <w:p w:rsidR="0003191B" w:rsidRPr="0034636B" w:rsidRDefault="0003191B">
      <w:pPr>
        <w:rPr>
          <w:rFonts w:ascii="Times New Roman" w:hAnsi="Times New Roman" w:cs="Times New Roman"/>
          <w:sz w:val="20"/>
          <w:szCs w:val="24"/>
        </w:rPr>
      </w:pPr>
      <w:r w:rsidRPr="0034636B">
        <w:rPr>
          <w:rFonts w:ascii="Times New Roman" w:hAnsi="Times New Roman" w:cs="Times New Roman"/>
          <w:sz w:val="20"/>
          <w:szCs w:val="24"/>
        </w:rPr>
        <w:t>Smith, Steven G., Allison C. Shideler, Kevin J. McCarthy. 2018. Proposed CPUE Expansion Estimation for Total Discards of Gulf of Mexico Red Grouper. SEDAR61-WP-15. SEDAR, North Charleston, SC. 11 pp.</w:t>
      </w:r>
    </w:p>
    <w:p w:rsidR="00FF0F8B" w:rsidRPr="0034636B" w:rsidRDefault="0003191B">
      <w:pPr>
        <w:rPr>
          <w:rFonts w:ascii="Times New Roman" w:hAnsi="Times New Roman" w:cs="Times New Roman"/>
          <w:sz w:val="20"/>
          <w:szCs w:val="24"/>
        </w:rPr>
      </w:pPr>
      <w:r w:rsidRPr="0034636B">
        <w:rPr>
          <w:rFonts w:ascii="Times New Roman" w:hAnsi="Times New Roman" w:cs="Times New Roman"/>
          <w:sz w:val="20"/>
          <w:szCs w:val="24"/>
        </w:rPr>
        <w:t>Smith, Steven G., Allison C. Shideler, Kevin J. McCarthy. 2019. Proposed CPUE Expansion Estimation for Total Discards of Gulf of Mexico Gray Triggerfish. SEDAR62 WP-07. SEDAR, North Charleston, SC. 21pp.</w:t>
      </w:r>
      <w:r w:rsidR="00FF0F8B" w:rsidRPr="0034636B">
        <w:rPr>
          <w:rFonts w:ascii="Times New Roman" w:hAnsi="Times New Roman" w:cs="Times New Roman"/>
          <w:sz w:val="20"/>
          <w:szCs w:val="24"/>
        </w:rPr>
        <w:br w:type="page"/>
      </w:r>
    </w:p>
    <w:p w:rsidR="00FF0F8B" w:rsidRPr="0034636B" w:rsidRDefault="008B0394" w:rsidP="00FF0F8B">
      <w:pPr>
        <w:rPr>
          <w:rFonts w:ascii="Times New Roman" w:hAnsi="Times New Roman" w:cs="Times New Roman"/>
          <w:sz w:val="20"/>
          <w:szCs w:val="24"/>
        </w:rPr>
      </w:pPr>
      <w:r w:rsidRPr="008911CA">
        <w:rPr>
          <w:rFonts w:ascii="Times New Roman" w:hAnsi="Times New Roman" w:cs="Times New Roman"/>
          <w:b/>
          <w:sz w:val="20"/>
          <w:szCs w:val="24"/>
        </w:rPr>
        <w:lastRenderedPageBreak/>
        <w:t>Table 1</w:t>
      </w:r>
      <w:r w:rsidR="00FF0F8B" w:rsidRPr="0034636B">
        <w:rPr>
          <w:rFonts w:ascii="Times New Roman" w:hAnsi="Times New Roman" w:cs="Times New Roman"/>
          <w:sz w:val="20"/>
          <w:szCs w:val="24"/>
        </w:rPr>
        <w:t xml:space="preserve">. Annual estimates of </w:t>
      </w:r>
      <w:r w:rsidR="008B44DE">
        <w:rPr>
          <w:rFonts w:ascii="Times New Roman" w:hAnsi="Times New Roman" w:cs="Times New Roman"/>
          <w:sz w:val="20"/>
          <w:szCs w:val="24"/>
        </w:rPr>
        <w:t>R</w:t>
      </w:r>
      <w:r w:rsidR="00303AEB" w:rsidRPr="0034636B">
        <w:rPr>
          <w:rFonts w:ascii="Times New Roman" w:hAnsi="Times New Roman" w:cs="Times New Roman"/>
          <w:sz w:val="20"/>
          <w:szCs w:val="24"/>
        </w:rPr>
        <w:t xml:space="preserve">ed </w:t>
      </w:r>
      <w:r w:rsidR="008B44DE">
        <w:rPr>
          <w:rFonts w:ascii="Times New Roman" w:hAnsi="Times New Roman" w:cs="Times New Roman"/>
          <w:sz w:val="20"/>
          <w:szCs w:val="24"/>
        </w:rPr>
        <w:t>G</w:t>
      </w:r>
      <w:r w:rsidRPr="0034636B">
        <w:rPr>
          <w:rFonts w:ascii="Times New Roman" w:hAnsi="Times New Roman" w:cs="Times New Roman"/>
          <w:sz w:val="20"/>
          <w:szCs w:val="24"/>
        </w:rPr>
        <w:t>rouper discard</w:t>
      </w:r>
      <w:r w:rsidR="00923789" w:rsidRPr="0034636B">
        <w:rPr>
          <w:rFonts w:ascii="Times New Roman" w:hAnsi="Times New Roman" w:cs="Times New Roman"/>
          <w:sz w:val="20"/>
          <w:szCs w:val="24"/>
        </w:rPr>
        <w:t>s</w:t>
      </w:r>
      <w:r w:rsidR="0003191B" w:rsidRPr="0034636B">
        <w:rPr>
          <w:rFonts w:ascii="Times New Roman" w:hAnsi="Times New Roman" w:cs="Times New Roman"/>
          <w:sz w:val="20"/>
          <w:szCs w:val="24"/>
        </w:rPr>
        <w:t xml:space="preserve"> </w:t>
      </w:r>
      <w:r w:rsidRPr="0034636B">
        <w:rPr>
          <w:rFonts w:ascii="Times New Roman" w:hAnsi="Times New Roman" w:cs="Times New Roman"/>
          <w:sz w:val="20"/>
          <w:szCs w:val="24"/>
        </w:rPr>
        <w:t>in weight (whole pounds) and number</w:t>
      </w:r>
      <w:r w:rsidR="008911CA">
        <w:rPr>
          <w:rFonts w:ascii="Times New Roman" w:hAnsi="Times New Roman" w:cs="Times New Roman"/>
          <w:sz w:val="20"/>
          <w:szCs w:val="24"/>
        </w:rPr>
        <w:t xml:space="preserve"> of fish</w:t>
      </w:r>
      <w:r w:rsidRPr="0034636B">
        <w:rPr>
          <w:rFonts w:ascii="Times New Roman" w:hAnsi="Times New Roman" w:cs="Times New Roman"/>
          <w:sz w:val="20"/>
          <w:szCs w:val="24"/>
        </w:rPr>
        <w:t xml:space="preserve"> for the vertical line and bottom longline sectors</w:t>
      </w:r>
      <w:r w:rsidR="00FF0F8B" w:rsidRPr="0034636B">
        <w:rPr>
          <w:rFonts w:ascii="Times New Roman" w:hAnsi="Times New Roman" w:cs="Times New Roman"/>
          <w:sz w:val="20"/>
          <w:szCs w:val="24"/>
        </w:rPr>
        <w:t>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1641"/>
        <w:gridCol w:w="1642"/>
        <w:gridCol w:w="1641"/>
        <w:gridCol w:w="1642"/>
      </w:tblGrid>
      <w:tr w:rsidR="008B0394" w:rsidRPr="0034636B" w:rsidTr="0003191B">
        <w:trPr>
          <w:trHeight w:val="269"/>
        </w:trPr>
        <w:tc>
          <w:tcPr>
            <w:tcW w:w="1641" w:type="dxa"/>
            <w:tcBorders>
              <w:top w:val="single" w:sz="4" w:space="0" w:color="auto"/>
            </w:tcBorders>
          </w:tcPr>
          <w:p w:rsidR="008B0394" w:rsidRPr="0034636B" w:rsidRDefault="008B0394" w:rsidP="00FF0F8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0394" w:rsidRPr="0034636B" w:rsidRDefault="008B0394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Vertical Line</w:t>
            </w:r>
          </w:p>
        </w:tc>
        <w:tc>
          <w:tcPr>
            <w:tcW w:w="3283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0394" w:rsidRPr="0034636B" w:rsidRDefault="008B0394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Bottom Longline</w:t>
            </w:r>
          </w:p>
        </w:tc>
      </w:tr>
      <w:tr w:rsidR="008B0394" w:rsidRPr="0034636B" w:rsidTr="0003191B">
        <w:trPr>
          <w:trHeight w:val="254"/>
        </w:trPr>
        <w:tc>
          <w:tcPr>
            <w:tcW w:w="1641" w:type="dxa"/>
            <w:tcBorders>
              <w:bottom w:val="single" w:sz="4" w:space="0" w:color="auto"/>
            </w:tcBorders>
            <w:vAlign w:val="center"/>
          </w:tcPr>
          <w:p w:rsidR="008B0394" w:rsidRPr="0034636B" w:rsidRDefault="008B0394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Year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0394" w:rsidRPr="0034636B" w:rsidRDefault="008B0394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Weight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0394" w:rsidRPr="0034636B" w:rsidRDefault="008911CA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0394" w:rsidRPr="0034636B" w:rsidRDefault="008B0394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Weight</w:t>
            </w:r>
          </w:p>
        </w:tc>
        <w:tc>
          <w:tcPr>
            <w:tcW w:w="164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B0394" w:rsidRPr="0034636B" w:rsidRDefault="008911CA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Number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2005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398,782 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133,793 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1,105,462 </w:t>
            </w:r>
          </w:p>
        </w:tc>
        <w:tc>
          <w:tcPr>
            <w:tcW w:w="1641" w:type="dxa"/>
            <w:tcBorders>
              <w:top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440,858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2006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435,772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146,203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1,270,233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506,568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2007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494,752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150,881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1,093,883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405,702 </w:t>
            </w:r>
          </w:p>
        </w:tc>
      </w:tr>
      <w:tr w:rsidR="008B0394" w:rsidRPr="0034636B" w:rsidTr="0003191B">
        <w:trPr>
          <w:trHeight w:val="254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2008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323,270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127,661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1,143,598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480,530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2009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460,616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219,006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404,760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153,431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2010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430,278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198,729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377,340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177,525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2011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717,532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290,423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835,475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346,979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2012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468,458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178,703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1,008,127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402,936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229,580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96,399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537,033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209,867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2014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137,226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59,449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850,226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324,659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199,812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86,568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460,603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195,727 </w:t>
            </w:r>
          </w:p>
        </w:tc>
      </w:tr>
      <w:tr w:rsidR="008B0394" w:rsidRPr="0034636B" w:rsidTr="0003191B">
        <w:trPr>
          <w:trHeight w:val="269"/>
        </w:trPr>
        <w:tc>
          <w:tcPr>
            <w:tcW w:w="1641" w:type="dxa"/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2016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202,292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96,899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528,078 </w:t>
            </w:r>
          </w:p>
        </w:tc>
        <w:tc>
          <w:tcPr>
            <w:tcW w:w="1641" w:type="dxa"/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242,272 </w:t>
            </w:r>
          </w:p>
        </w:tc>
      </w:tr>
      <w:tr w:rsidR="008B0394" w:rsidRPr="0034636B" w:rsidTr="0003191B">
        <w:trPr>
          <w:trHeight w:val="254"/>
        </w:trPr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8B0394" w:rsidRPr="0034636B" w:rsidRDefault="008B0394" w:rsidP="008B0394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2017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132,138 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71,658 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436,208 </w:t>
            </w:r>
          </w:p>
        </w:tc>
        <w:tc>
          <w:tcPr>
            <w:tcW w:w="1641" w:type="dxa"/>
            <w:tcBorders>
              <w:bottom w:val="single" w:sz="4" w:space="0" w:color="auto"/>
            </w:tcBorders>
            <w:vAlign w:val="bottom"/>
          </w:tcPr>
          <w:p w:rsidR="008B0394" w:rsidRPr="0034636B" w:rsidRDefault="008B0394" w:rsidP="008B039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216,046 </w:t>
            </w:r>
          </w:p>
        </w:tc>
      </w:tr>
    </w:tbl>
    <w:p w:rsidR="008B0394" w:rsidRPr="0034636B" w:rsidRDefault="008B0394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34636B" w:rsidRDefault="0034636B" w:rsidP="00FF0F8B">
      <w:pPr>
        <w:rPr>
          <w:rFonts w:ascii="Times New Roman" w:hAnsi="Times New Roman" w:cs="Times New Roman"/>
          <w:sz w:val="20"/>
          <w:szCs w:val="24"/>
        </w:rPr>
      </w:pPr>
    </w:p>
    <w:p w:rsidR="0034636B" w:rsidRPr="0034636B" w:rsidRDefault="0034636B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  <w:r w:rsidRPr="008911CA">
        <w:rPr>
          <w:rFonts w:ascii="Times New Roman" w:hAnsi="Times New Roman" w:cs="Times New Roman"/>
          <w:b/>
          <w:sz w:val="20"/>
          <w:szCs w:val="24"/>
        </w:rPr>
        <w:t>Table 2</w:t>
      </w:r>
      <w:r w:rsidRPr="0034636B">
        <w:rPr>
          <w:rFonts w:ascii="Times New Roman" w:hAnsi="Times New Roman" w:cs="Times New Roman"/>
          <w:sz w:val="20"/>
          <w:szCs w:val="24"/>
        </w:rPr>
        <w:t xml:space="preserve">. Annual estimates of </w:t>
      </w:r>
      <w:r w:rsidR="0003191B" w:rsidRPr="0034636B">
        <w:rPr>
          <w:rFonts w:ascii="Times New Roman" w:hAnsi="Times New Roman" w:cs="Times New Roman"/>
          <w:sz w:val="20"/>
          <w:szCs w:val="24"/>
        </w:rPr>
        <w:t>G</w:t>
      </w:r>
      <w:r w:rsidR="008B44DE">
        <w:rPr>
          <w:rFonts w:ascii="Times New Roman" w:hAnsi="Times New Roman" w:cs="Times New Roman"/>
          <w:sz w:val="20"/>
          <w:szCs w:val="24"/>
        </w:rPr>
        <w:t>ray T</w:t>
      </w:r>
      <w:r w:rsidRPr="0034636B">
        <w:rPr>
          <w:rFonts w:ascii="Times New Roman" w:hAnsi="Times New Roman" w:cs="Times New Roman"/>
          <w:sz w:val="20"/>
          <w:szCs w:val="24"/>
        </w:rPr>
        <w:t>riggerfish discards for the vertical line sector in weight (whole pounds) and number</w:t>
      </w:r>
      <w:r w:rsidR="008911CA">
        <w:rPr>
          <w:rFonts w:ascii="Times New Roman" w:hAnsi="Times New Roman" w:cs="Times New Roman"/>
          <w:sz w:val="20"/>
          <w:szCs w:val="24"/>
        </w:rPr>
        <w:t xml:space="preserve"> of fish</w:t>
      </w:r>
      <w:r w:rsidRPr="0034636B">
        <w:rPr>
          <w:rFonts w:ascii="Times New Roman" w:hAnsi="Times New Roman" w:cs="Times New Roman"/>
          <w:sz w:val="20"/>
          <w:szCs w:val="24"/>
        </w:rPr>
        <w:t xml:space="preserve"> for the East and West spatial strata.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5"/>
        <w:gridCol w:w="1665"/>
        <w:gridCol w:w="1665"/>
        <w:gridCol w:w="1665"/>
        <w:gridCol w:w="1665"/>
      </w:tblGrid>
      <w:tr w:rsidR="00923789" w:rsidRPr="0034636B" w:rsidTr="0003191B">
        <w:trPr>
          <w:trHeight w:val="283"/>
        </w:trPr>
        <w:tc>
          <w:tcPr>
            <w:tcW w:w="1665" w:type="dxa"/>
            <w:tcBorders>
              <w:top w:val="single" w:sz="4" w:space="0" w:color="auto"/>
            </w:tcBorders>
          </w:tcPr>
          <w:p w:rsidR="00923789" w:rsidRPr="0034636B" w:rsidRDefault="00923789" w:rsidP="008F0CC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3789" w:rsidRPr="0034636B" w:rsidRDefault="00923789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Weight</w:t>
            </w:r>
          </w:p>
        </w:tc>
        <w:tc>
          <w:tcPr>
            <w:tcW w:w="333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3789" w:rsidRPr="0034636B" w:rsidRDefault="00923789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Number</w:t>
            </w:r>
          </w:p>
        </w:tc>
      </w:tr>
      <w:tr w:rsidR="00923789" w:rsidRPr="0034636B" w:rsidTr="0003191B">
        <w:trPr>
          <w:trHeight w:val="268"/>
        </w:trPr>
        <w:tc>
          <w:tcPr>
            <w:tcW w:w="1665" w:type="dxa"/>
            <w:tcBorders>
              <w:bottom w:val="single" w:sz="4" w:space="0" w:color="auto"/>
            </w:tcBorders>
            <w:vAlign w:val="center"/>
          </w:tcPr>
          <w:p w:rsidR="00923789" w:rsidRPr="0034636B" w:rsidRDefault="00923789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Year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3789" w:rsidRPr="0034636B" w:rsidRDefault="00923789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East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3789" w:rsidRPr="0034636B" w:rsidRDefault="00923789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West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3789" w:rsidRPr="0034636B" w:rsidRDefault="00923789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East</w:t>
            </w:r>
          </w:p>
        </w:tc>
        <w:tc>
          <w:tcPr>
            <w:tcW w:w="166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3789" w:rsidRPr="0034636B" w:rsidRDefault="00923789" w:rsidP="00923789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West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tcBorders>
              <w:top w:val="single" w:sz="4" w:space="0" w:color="auto"/>
            </w:tcBorders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2005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1,136 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178 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1,227 </w:t>
            </w:r>
          </w:p>
        </w:tc>
        <w:tc>
          <w:tcPr>
            <w:tcW w:w="1665" w:type="dxa"/>
            <w:tcBorders>
              <w:top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147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2006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604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151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652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125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2007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834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BC2D8F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  0  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764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0   </w:t>
            </w:r>
          </w:p>
        </w:tc>
      </w:tr>
      <w:tr w:rsidR="00923789" w:rsidRPr="0034636B" w:rsidTr="0003191B">
        <w:trPr>
          <w:trHeight w:val="268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2008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272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224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  339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185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2009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33,656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2,755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16,417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1,112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2010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13,707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1,506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7,990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608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2011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32,936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2,021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18,618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  816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2012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51,784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16,666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21,536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4,542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18,810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4,209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8,765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1,459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2014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15,854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3,303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6,932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1,462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18,039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6,801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7,079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2,116 </w:t>
            </w:r>
          </w:p>
        </w:tc>
      </w:tr>
      <w:tr w:rsidR="00923789" w:rsidRPr="0034636B" w:rsidTr="0003191B">
        <w:trPr>
          <w:trHeight w:val="283"/>
        </w:trPr>
        <w:tc>
          <w:tcPr>
            <w:tcW w:w="1665" w:type="dxa"/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2016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41,457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4,032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15,781 </w:t>
            </w:r>
          </w:p>
        </w:tc>
        <w:tc>
          <w:tcPr>
            <w:tcW w:w="1665" w:type="dxa"/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1,110 </w:t>
            </w:r>
          </w:p>
        </w:tc>
      </w:tr>
      <w:tr w:rsidR="00923789" w:rsidRPr="0034636B" w:rsidTr="0003191B">
        <w:trPr>
          <w:trHeight w:val="268"/>
        </w:trPr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23789" w:rsidRPr="0034636B" w:rsidRDefault="00923789" w:rsidP="00923789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2017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74,181 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2,741 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23,944 </w:t>
            </w:r>
          </w:p>
        </w:tc>
        <w:tc>
          <w:tcPr>
            <w:tcW w:w="1665" w:type="dxa"/>
            <w:tcBorders>
              <w:bottom w:val="single" w:sz="4" w:space="0" w:color="auto"/>
            </w:tcBorders>
            <w:vAlign w:val="bottom"/>
          </w:tcPr>
          <w:p w:rsidR="00923789" w:rsidRPr="0034636B" w:rsidRDefault="00923789" w:rsidP="0092378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1,214 </w:t>
            </w:r>
          </w:p>
        </w:tc>
      </w:tr>
    </w:tbl>
    <w:p w:rsidR="00923789" w:rsidRPr="0034636B" w:rsidRDefault="00923789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34636B" w:rsidRDefault="0034636B" w:rsidP="00FF0F8B">
      <w:pPr>
        <w:rPr>
          <w:rFonts w:ascii="Times New Roman" w:hAnsi="Times New Roman" w:cs="Times New Roman"/>
          <w:sz w:val="20"/>
          <w:szCs w:val="24"/>
        </w:rPr>
      </w:pPr>
    </w:p>
    <w:p w:rsidR="0034636B" w:rsidRPr="0034636B" w:rsidRDefault="0034636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FF0F8B">
      <w:pPr>
        <w:rPr>
          <w:rFonts w:ascii="Times New Roman" w:hAnsi="Times New Roman" w:cs="Times New Roman"/>
          <w:sz w:val="20"/>
          <w:szCs w:val="24"/>
        </w:rPr>
      </w:pPr>
    </w:p>
    <w:p w:rsidR="0003191B" w:rsidRPr="0034636B" w:rsidRDefault="0003191B" w:rsidP="0003191B">
      <w:pPr>
        <w:rPr>
          <w:rFonts w:ascii="Times New Roman" w:hAnsi="Times New Roman" w:cs="Times New Roman"/>
          <w:sz w:val="20"/>
          <w:szCs w:val="24"/>
        </w:rPr>
      </w:pPr>
      <w:r w:rsidRPr="0034636B">
        <w:rPr>
          <w:rFonts w:ascii="Times New Roman" w:hAnsi="Times New Roman" w:cs="Times New Roman"/>
          <w:sz w:val="20"/>
          <w:szCs w:val="24"/>
        </w:rPr>
        <w:t xml:space="preserve">Table 3. Annual estimates of </w:t>
      </w:r>
      <w:r w:rsidR="0034636B" w:rsidRPr="0034636B">
        <w:rPr>
          <w:rFonts w:ascii="Times New Roman" w:hAnsi="Times New Roman" w:cs="Times New Roman"/>
          <w:sz w:val="20"/>
          <w:szCs w:val="24"/>
        </w:rPr>
        <w:t>Vermilion</w:t>
      </w:r>
      <w:r w:rsidRPr="0034636B">
        <w:rPr>
          <w:rFonts w:ascii="Times New Roman" w:hAnsi="Times New Roman" w:cs="Times New Roman"/>
          <w:sz w:val="20"/>
          <w:szCs w:val="24"/>
        </w:rPr>
        <w:t xml:space="preserve"> </w:t>
      </w:r>
      <w:r w:rsidR="0034636B" w:rsidRPr="0034636B">
        <w:rPr>
          <w:rFonts w:ascii="Times New Roman" w:hAnsi="Times New Roman" w:cs="Times New Roman"/>
          <w:sz w:val="20"/>
          <w:szCs w:val="24"/>
        </w:rPr>
        <w:t>Snapper</w:t>
      </w:r>
      <w:r w:rsidRPr="0034636B">
        <w:rPr>
          <w:rFonts w:ascii="Times New Roman" w:hAnsi="Times New Roman" w:cs="Times New Roman"/>
          <w:sz w:val="20"/>
          <w:szCs w:val="24"/>
        </w:rPr>
        <w:t xml:space="preserve"> discards for the vertical line sector in weight (whole pounds) and number for the East and West spatial strata.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38"/>
        <w:gridCol w:w="1638"/>
        <w:gridCol w:w="1639"/>
        <w:gridCol w:w="1638"/>
        <w:gridCol w:w="1639"/>
      </w:tblGrid>
      <w:tr w:rsidR="0003191B" w:rsidRPr="0034636B" w:rsidTr="0003191B">
        <w:trPr>
          <w:trHeight w:val="311"/>
        </w:trPr>
        <w:tc>
          <w:tcPr>
            <w:tcW w:w="1638" w:type="dxa"/>
            <w:tcBorders>
              <w:top w:val="single" w:sz="4" w:space="0" w:color="auto"/>
            </w:tcBorders>
          </w:tcPr>
          <w:p w:rsidR="0003191B" w:rsidRPr="0034636B" w:rsidRDefault="0003191B" w:rsidP="008F0CCB">
            <w:pPr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  <w:tc>
          <w:tcPr>
            <w:tcW w:w="32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Weight</w:t>
            </w:r>
          </w:p>
        </w:tc>
        <w:tc>
          <w:tcPr>
            <w:tcW w:w="3277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Number</w:t>
            </w:r>
          </w:p>
        </w:tc>
      </w:tr>
      <w:tr w:rsidR="0003191B" w:rsidRPr="0034636B" w:rsidTr="0003191B">
        <w:trPr>
          <w:trHeight w:val="294"/>
        </w:trPr>
        <w:tc>
          <w:tcPr>
            <w:tcW w:w="1638" w:type="dxa"/>
            <w:tcBorders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Year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East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West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East</w:t>
            </w:r>
          </w:p>
        </w:tc>
        <w:tc>
          <w:tcPr>
            <w:tcW w:w="163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03191B" w:rsidRPr="0034636B" w:rsidRDefault="0003191B" w:rsidP="008F0CCB">
            <w:pPr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West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2007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170,494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6,529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439,192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19,637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2008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246,821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5,524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635,291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16,614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2009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384,493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5,094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989,331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15,321 </w:t>
            </w:r>
          </w:p>
        </w:tc>
      </w:tr>
      <w:tr w:rsidR="0003191B" w:rsidRPr="0034636B" w:rsidTr="0003191B">
        <w:trPr>
          <w:trHeight w:val="294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2010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180,842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3,462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466,119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10,412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2011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316,023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3,393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813,504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10,206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2012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217,437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3,966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560,704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11,930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2013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129,571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3,275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335,044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9,850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2014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134,894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3,120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348,357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  9,384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2015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104,372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3,676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270,610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11,055 </w:t>
            </w:r>
          </w:p>
        </w:tc>
      </w:tr>
      <w:tr w:rsidR="0003191B" w:rsidRPr="0034636B" w:rsidTr="0003191B">
        <w:trPr>
          <w:trHeight w:val="311"/>
        </w:trPr>
        <w:tc>
          <w:tcPr>
            <w:tcW w:w="1638" w:type="dxa"/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2016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114,956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4,101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297,934 </w:t>
            </w:r>
          </w:p>
        </w:tc>
        <w:tc>
          <w:tcPr>
            <w:tcW w:w="1638" w:type="dxa"/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12,336 </w:t>
            </w:r>
          </w:p>
        </w:tc>
      </w:tr>
      <w:tr w:rsidR="0003191B" w:rsidRPr="0034636B" w:rsidTr="0003191B">
        <w:trPr>
          <w:trHeight w:val="294"/>
        </w:trPr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03191B" w:rsidRPr="0034636B" w:rsidRDefault="0003191B" w:rsidP="0003191B">
            <w:pPr>
              <w:jc w:val="right"/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>2017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124,995 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3,618 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323,736 </w:t>
            </w:r>
          </w:p>
        </w:tc>
        <w:tc>
          <w:tcPr>
            <w:tcW w:w="1638" w:type="dxa"/>
            <w:tcBorders>
              <w:bottom w:val="single" w:sz="4" w:space="0" w:color="auto"/>
            </w:tcBorders>
            <w:vAlign w:val="bottom"/>
          </w:tcPr>
          <w:p w:rsidR="0003191B" w:rsidRPr="0034636B" w:rsidRDefault="0003191B" w:rsidP="0003191B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34636B">
              <w:rPr>
                <w:rFonts w:ascii="Times New Roman" w:hAnsi="Times New Roman" w:cs="Times New Roman"/>
                <w:sz w:val="20"/>
                <w:szCs w:val="24"/>
              </w:rPr>
              <w:t xml:space="preserve">         10,883 </w:t>
            </w:r>
          </w:p>
        </w:tc>
      </w:tr>
    </w:tbl>
    <w:p w:rsidR="00FF0F8B" w:rsidRDefault="00FF0F8B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Default="0022203F" w:rsidP="00FF0F8B">
      <w:pPr>
        <w:rPr>
          <w:b/>
        </w:rPr>
      </w:pPr>
    </w:p>
    <w:p w:rsidR="0022203F" w:rsidRPr="00060D38" w:rsidRDefault="0022203F" w:rsidP="0022203F">
      <w:pPr>
        <w:pStyle w:val="ListParagraph"/>
        <w:spacing w:line="276" w:lineRule="auto"/>
        <w:ind w:left="360" w:hanging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Figure 1. </w:t>
      </w:r>
      <w:r>
        <w:rPr>
          <w:rFonts w:ascii="Times New Roman" w:hAnsi="Times New Roman" w:cs="Times New Roman"/>
        </w:rPr>
        <w:t xml:space="preserve">Map of sampling areas in the Gulf of Mexico (map provided by B. </w:t>
      </w:r>
      <w:proofErr w:type="spellStart"/>
      <w:r>
        <w:rPr>
          <w:rFonts w:ascii="Times New Roman" w:hAnsi="Times New Roman" w:cs="Times New Roman"/>
        </w:rPr>
        <w:t>Wrege</w:t>
      </w:r>
      <w:proofErr w:type="spellEnd"/>
      <w:r>
        <w:rPr>
          <w:rFonts w:ascii="Times New Roman" w:hAnsi="Times New Roman" w:cs="Times New Roman"/>
        </w:rPr>
        <w:t xml:space="preserve">). </w:t>
      </w:r>
    </w:p>
    <w:p w:rsidR="0022203F" w:rsidRDefault="0022203F" w:rsidP="0022203F">
      <w:pPr>
        <w:pStyle w:val="ListParagraph"/>
        <w:spacing w:line="276" w:lineRule="auto"/>
        <w:ind w:left="360" w:hanging="360"/>
        <w:rPr>
          <w:rFonts w:ascii="Times New Roman" w:hAnsi="Times New Roman" w:cs="Times New Roman"/>
          <w:b/>
        </w:rPr>
      </w:pPr>
    </w:p>
    <w:p w:rsidR="0022203F" w:rsidRDefault="0022203F" w:rsidP="00FF0F8B">
      <w:pPr>
        <w:rPr>
          <w:b/>
        </w:rPr>
      </w:pPr>
      <w:r>
        <w:rPr>
          <w:rFonts w:ascii="Times New Roman" w:hAnsi="Times New Roman" w:cs="Times New Roman"/>
          <w:b/>
          <w:noProof/>
        </w:rPr>
        <w:drawing>
          <wp:inline distT="0" distB="0" distL="0" distR="0" wp14:anchorId="0FD9038A" wp14:editId="136974B7">
            <wp:extent cx="5943600" cy="36087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MFS_Grid_base_1-21BMWc.gi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203F" w:rsidSect="00BE4142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C3B49"/>
    <w:multiLevelType w:val="hybridMultilevel"/>
    <w:tmpl w:val="3036FA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F6CD6"/>
    <w:multiLevelType w:val="hybridMultilevel"/>
    <w:tmpl w:val="195429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4507C"/>
    <w:multiLevelType w:val="hybridMultilevel"/>
    <w:tmpl w:val="D6DA2A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700A94"/>
    <w:multiLevelType w:val="hybridMultilevel"/>
    <w:tmpl w:val="06705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367BA"/>
    <w:multiLevelType w:val="hybridMultilevel"/>
    <w:tmpl w:val="4B1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039"/>
    <w:rsid w:val="0003191B"/>
    <w:rsid w:val="0007152A"/>
    <w:rsid w:val="000B0406"/>
    <w:rsid w:val="000B1949"/>
    <w:rsid w:val="000F3B24"/>
    <w:rsid w:val="001014A1"/>
    <w:rsid w:val="001219F3"/>
    <w:rsid w:val="00152725"/>
    <w:rsid w:val="00153F3D"/>
    <w:rsid w:val="001A0915"/>
    <w:rsid w:val="0022203F"/>
    <w:rsid w:val="00253039"/>
    <w:rsid w:val="00262103"/>
    <w:rsid w:val="002C23A1"/>
    <w:rsid w:val="002D5DD1"/>
    <w:rsid w:val="002D70FD"/>
    <w:rsid w:val="002E721D"/>
    <w:rsid w:val="00303AEB"/>
    <w:rsid w:val="0034636B"/>
    <w:rsid w:val="003833CE"/>
    <w:rsid w:val="00396EFC"/>
    <w:rsid w:val="003A2643"/>
    <w:rsid w:val="003B7D97"/>
    <w:rsid w:val="0040353B"/>
    <w:rsid w:val="00433D54"/>
    <w:rsid w:val="00446227"/>
    <w:rsid w:val="00513D9B"/>
    <w:rsid w:val="00575B21"/>
    <w:rsid w:val="006B72F2"/>
    <w:rsid w:val="007B0D03"/>
    <w:rsid w:val="00804E62"/>
    <w:rsid w:val="00844D91"/>
    <w:rsid w:val="008911CA"/>
    <w:rsid w:val="008B0394"/>
    <w:rsid w:val="008B44DE"/>
    <w:rsid w:val="008E16B2"/>
    <w:rsid w:val="008E7156"/>
    <w:rsid w:val="00923789"/>
    <w:rsid w:val="009F5F74"/>
    <w:rsid w:val="00A71705"/>
    <w:rsid w:val="00A9200A"/>
    <w:rsid w:val="00B2274C"/>
    <w:rsid w:val="00B24B9C"/>
    <w:rsid w:val="00BB6B93"/>
    <w:rsid w:val="00BC2D8F"/>
    <w:rsid w:val="00BE4142"/>
    <w:rsid w:val="00C511A6"/>
    <w:rsid w:val="00C658CA"/>
    <w:rsid w:val="00CE629E"/>
    <w:rsid w:val="00CF4F0C"/>
    <w:rsid w:val="00D73F57"/>
    <w:rsid w:val="00DF682F"/>
    <w:rsid w:val="00E3189D"/>
    <w:rsid w:val="00E7378E"/>
    <w:rsid w:val="00FB5550"/>
    <w:rsid w:val="00FF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38E93"/>
  <w15:chartTrackingRefBased/>
  <w15:docId w15:val="{A4C63A0E-B12B-47E6-9726-79CF716C26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3039"/>
    <w:pPr>
      <w:ind w:left="720"/>
      <w:contextualSpacing/>
    </w:pPr>
  </w:style>
  <w:style w:type="table" w:styleId="TableGrid">
    <w:name w:val="Table Grid"/>
    <w:basedOn w:val="TableNormal"/>
    <w:uiPriority w:val="39"/>
    <w:rsid w:val="00303A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87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5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7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32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F829B5-1073-4337-B37A-255FCE6DA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1367</Words>
  <Characters>7792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Kevin McCarthy</cp:lastModifiedBy>
  <cp:revision>2</cp:revision>
  <dcterms:created xsi:type="dcterms:W3CDTF">2019-08-05T23:49:00Z</dcterms:created>
  <dcterms:modified xsi:type="dcterms:W3CDTF">2019-08-05T23:49:00Z</dcterms:modified>
</cp:coreProperties>
</file>