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E5" w:rsidRDefault="00E355C3">
      <w:pPr>
        <w:pStyle w:val="Title"/>
      </w:pPr>
      <w:bookmarkStart w:id="0" w:name="_GoBack"/>
      <w:bookmarkEnd w:id="0"/>
      <w:r>
        <w:t>Summary report</w:t>
      </w:r>
    </w:p>
    <w:p w:rsidR="009F75E5" w:rsidRDefault="00E355C3">
      <w:pPr>
        <w:pStyle w:val="Author"/>
      </w:pPr>
      <w:r>
        <w:t>Gulf of Mexico Fishery Management Council</w:t>
      </w:r>
    </w:p>
    <w:p w:rsidR="009F75E5" w:rsidRDefault="00E355C3">
      <w:pPr>
        <w:pStyle w:val="Date"/>
      </w:pPr>
      <w:r>
        <w:t>Report last ran on 2018-03-09</w:t>
      </w:r>
    </w:p>
    <w:p w:rsidR="009F75E5" w:rsidRDefault="00E355C3">
      <w:pPr>
        <w:pStyle w:val="FirstParagraph"/>
      </w:pPr>
      <w:r>
        <w:t>The Gulf of Mexico Fishery Management Council is considering a State Management Program (</w:t>
      </w:r>
      <w:hyperlink r:id="rId7">
        <w:r>
          <w:rPr>
            <w:rStyle w:val="Hyperlink"/>
          </w:rPr>
          <w:t>http://gulfcouncil.org/wp-content/uploads/Recreational-State-Management-for-Red-Snapper-1-16-2018.pdf</w:t>
        </w:r>
      </w:hyperlink>
      <w:r>
        <w:t>) to allow individual states to esta</w:t>
      </w:r>
      <w:r>
        <w:t>blish seasons and bag limits to provide more flexibility to their anglers. This amendment (</w:t>
      </w:r>
      <w:hyperlink r:id="rId8">
        <w:r>
          <w:rPr>
            <w:rStyle w:val="Hyperlink"/>
          </w:rPr>
          <w:t>http://gulfcouncil.org/wp-content/uploads/Re</w:t>
        </w:r>
        <w:r>
          <w:rPr>
            <w:rStyle w:val="Hyperlink"/>
          </w:rPr>
          <w:t>creational-State-Management-for-Red-Snapper-1-16-2018.pdf</w:t>
        </w:r>
      </w:hyperlink>
      <w:r>
        <w:t>) contains two actions. The first addresses the recreational sector components that a state management program would manage and the second considers methods to allocate the harvest among the Gulf sta</w:t>
      </w:r>
      <w:r>
        <w:t>tes.</w:t>
      </w:r>
    </w:p>
    <w:p w:rsidR="009F75E5" w:rsidRDefault="00E355C3">
      <w:pPr>
        <w:pStyle w:val="BodyText"/>
      </w:pPr>
      <w:r>
        <w:t>This report summarizes the selected options in Action 2 to determine a state based allocation for recreationally harvested red snapper. This report is based on Alternatives the Council will consider at their April 2018 Council meeting in Gulfport, MS.</w:t>
      </w:r>
      <w:r>
        <w:t xml:space="preserve"> The user selected options are described in Table 1. The allocation (on percent basis) for each selected option is available in Table 2 and Figure 1.</w:t>
      </w:r>
    </w:p>
    <w:p w:rsidR="009F75E5" w:rsidRDefault="00E355C3">
      <w:pPr>
        <w:pStyle w:val="TableCaption"/>
      </w:pPr>
      <w:r>
        <w:t>Table 1. Selected options to calculate allocation of recreationally harvested red snapper among five coast</w:t>
      </w:r>
      <w:r>
        <w:t>al US states adjoining the US Gulf of Mexico.</w:t>
      </w:r>
    </w:p>
    <w:tbl>
      <w:tblPr>
        <w:tblW w:w="0" w:type="pct"/>
        <w:tblLook w:val="07E0" w:firstRow="1" w:lastRow="1" w:firstColumn="1" w:lastColumn="1" w:noHBand="1" w:noVBand="1"/>
        <w:tblCaption w:val="Table 1. Selected options to calculate allocation of recreationally harvested red snapper among five coastal US states adjoining the US Gulf of Mexico."/>
      </w:tblPr>
      <w:tblGrid>
        <w:gridCol w:w="1406"/>
        <w:gridCol w:w="1465"/>
        <w:gridCol w:w="1080"/>
        <w:gridCol w:w="761"/>
        <w:gridCol w:w="1152"/>
        <w:gridCol w:w="916"/>
      </w:tblGrid>
      <w:tr w:rsidR="009F75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</w:pPr>
            <w:r>
              <w:t>Years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</w:pPr>
            <w:r>
              <w:t>Biomass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</w:pPr>
            <w:r>
              <w:t>Trips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</w:pPr>
            <w:r>
              <w:t>Landings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Option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1986 - 2009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1986 - 2009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For-hire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2006 - 2009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3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Private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2006 - 2009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4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Private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2006 - 2009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5</w:t>
            </w:r>
          </w:p>
        </w:tc>
      </w:tr>
    </w:tbl>
    <w:p w:rsidR="009F75E5" w:rsidRDefault="00E355C3">
      <w:pPr>
        <w:pStyle w:val="TableCaption"/>
      </w:pPr>
      <w:r>
        <w:t>Table 2. Allocation of recreationally harvested red snapper among five states. The values selected for each variable is described in Table 1.</w:t>
      </w:r>
    </w:p>
    <w:tbl>
      <w:tblPr>
        <w:tblW w:w="0" w:type="pct"/>
        <w:tblLook w:val="07E0" w:firstRow="1" w:lastRow="1" w:firstColumn="1" w:lastColumn="1" w:noHBand="1" w:noVBand="1"/>
        <w:tblCaption w:val="Table 2. Allocation of recreationally harvested red snapper among five states. The values selected for each variable is described in Table 1."/>
      </w:tblPr>
      <w:tblGrid>
        <w:gridCol w:w="2159"/>
        <w:gridCol w:w="797"/>
        <w:gridCol w:w="797"/>
        <w:gridCol w:w="664"/>
        <w:gridCol w:w="797"/>
        <w:gridCol w:w="797"/>
        <w:gridCol w:w="916"/>
      </w:tblGrid>
      <w:tr w:rsidR="009F75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</w:pPr>
            <w:r>
              <w:t>Allocation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FL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TX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5E5" w:rsidRDefault="00E355C3">
            <w:pPr>
              <w:pStyle w:val="Compact"/>
              <w:jc w:val="right"/>
            </w:pPr>
            <w:r>
              <w:t>Option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Total Allocation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33.36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16.58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17.62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29.56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Total Allocation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33.36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16.58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17.62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29.56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For-hire Allocation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41.31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12.99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15.43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29.58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3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Private Allocation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44.03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11.30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18.65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24.23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4</w:t>
            </w:r>
          </w:p>
        </w:tc>
      </w:tr>
      <w:tr w:rsidR="009F75E5">
        <w:tc>
          <w:tcPr>
            <w:tcW w:w="0" w:type="auto"/>
          </w:tcPr>
          <w:p w:rsidR="009F75E5" w:rsidRDefault="00E355C3">
            <w:pPr>
              <w:pStyle w:val="Compact"/>
            </w:pPr>
            <w:r>
              <w:t>Private Allocation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45.09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10.22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2.30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18.35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24.05</w:t>
            </w:r>
          </w:p>
        </w:tc>
        <w:tc>
          <w:tcPr>
            <w:tcW w:w="0" w:type="auto"/>
          </w:tcPr>
          <w:p w:rsidR="009F75E5" w:rsidRDefault="00E355C3">
            <w:pPr>
              <w:pStyle w:val="Compact"/>
              <w:jc w:val="right"/>
            </w:pPr>
            <w:r>
              <w:t>5</w:t>
            </w:r>
          </w:p>
        </w:tc>
      </w:tr>
    </w:tbl>
    <w:p w:rsidR="009F75E5" w:rsidRDefault="00E355C3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3696101" cy="3696101"/>
            <wp:effectExtent l="0" t="0" r="0" b="0"/>
            <wp:docPr id="1" name="Picture" descr="Percent allocation. Settings are selected options are described in Table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E5" w:rsidRDefault="00E355C3">
      <w:pPr>
        <w:pStyle w:val="ImageCaption"/>
      </w:pPr>
      <w:r>
        <w:t>Percent allocation. Settings are selected options are described in Table 1.</w:t>
      </w:r>
    </w:p>
    <w:p w:rsidR="009F75E5" w:rsidRDefault="00E355C3">
      <w:pPr>
        <w:pStyle w:val="BodyText"/>
      </w:pPr>
      <w:r>
        <w:t xml:space="preserve">This report was generated from the red snapper decision support tool (v3.0) available at </w:t>
      </w:r>
      <w:hyperlink r:id="rId10">
        <w:r>
          <w:rPr>
            <w:rStyle w:val="Hyperlink"/>
          </w:rPr>
          <w:t>http://portal.gulfcouncil.org/RedSnapperDecisionSupportTool/</w:t>
        </w:r>
      </w:hyperlink>
      <w:r>
        <w:t xml:space="preserve">. You can submit comments about this proposed amendment here: </w:t>
      </w:r>
      <w:hyperlink r:id="rId11">
        <w:r>
          <w:rPr>
            <w:rStyle w:val="Hyperlink"/>
          </w:rPr>
          <w:t>https://docs.google.com/forms/d/e/1FAIpQLSdS4V2vpjJdeXYwGd4126vvkOlp5328cd0</w:t>
        </w:r>
        <w:r>
          <w:rPr>
            <w:rStyle w:val="Hyperlink"/>
          </w:rPr>
          <w:t>pCvAka7S2JpOIVg/viewform</w:t>
        </w:r>
      </w:hyperlink>
      <w:r>
        <w:t>.</w:t>
      </w:r>
    </w:p>
    <w:p w:rsidR="009F75E5" w:rsidRDefault="00E355C3">
      <w:pPr>
        <w:pStyle w:val="BodyText"/>
      </w:pPr>
      <w:r>
        <w:t xml:space="preserve">Plases send technical questions or concerns about this website or report to </w:t>
      </w:r>
      <w:hyperlink r:id="rId12">
        <w:r>
          <w:rPr>
            <w:rStyle w:val="Hyperlink"/>
          </w:rPr>
          <w:t>john.froeschke@gulfcouncil.org</w:t>
        </w:r>
      </w:hyperlink>
      <w:r>
        <w:t>.</w:t>
      </w:r>
    </w:p>
    <w:p w:rsidR="009F75E5" w:rsidRDefault="009F75E5">
      <w:pPr>
        <w:pStyle w:val="BodyText"/>
      </w:pPr>
    </w:p>
    <w:p w:rsidR="009F75E5" w:rsidRDefault="00E355C3">
      <w:pPr>
        <w:pStyle w:val="BodyText"/>
      </w:pPr>
      <w:r>
        <w:rPr>
          <w:noProof/>
        </w:rPr>
        <w:drawing>
          <wp:inline distT="0" distB="0" distL="0" distR="0">
            <wp:extent cx="4620126" cy="9240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5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355C3">
      <w:pPr>
        <w:spacing w:after="0"/>
      </w:pPr>
      <w:r>
        <w:separator/>
      </w:r>
    </w:p>
  </w:endnote>
  <w:endnote w:type="continuationSeparator" w:id="0">
    <w:p w:rsidR="00000000" w:rsidRDefault="00E35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E5" w:rsidRDefault="00E355C3">
      <w:r>
        <w:separator/>
      </w:r>
    </w:p>
  </w:footnote>
  <w:footnote w:type="continuationSeparator" w:id="0">
    <w:p w:rsidR="009F75E5" w:rsidRDefault="00E35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6D893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18ACA1"/>
    <w:multiLevelType w:val="multilevel"/>
    <w:tmpl w:val="F2B8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75E5"/>
    <w:rsid w:val="00B86B75"/>
    <w:rsid w:val="00BC48D5"/>
    <w:rsid w:val="00C36279"/>
    <w:rsid w:val="00E315A3"/>
    <w:rsid w:val="00E355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5B497-13D9-45F8-A71A-D38E033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lfcouncil.org/wp-content/uploads/Recreational-State-Management-for-Red-Snapper-1-16-2018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ulfcouncil.org/wp-content/uploads/Recreational-State-Management-for-Red-Snapper-1-16-2018.pdf" TargetMode="External"/><Relationship Id="rId12" Type="http://schemas.openxmlformats.org/officeDocument/2006/relationships/hyperlink" Target="mailto:john.froeschke@gulfcounc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dS4V2vpjJdeXYwGd4126vvkOlp5328cd0pCvAka7S2JpOIVg/viewfor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ortal.gulfcouncil.org/RedSnapperDecisionSupportToo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report</vt:lpstr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creator>Gulf of Mexico Fishery Management Council</dc:creator>
  <cp:lastModifiedBy>John Froeschke</cp:lastModifiedBy>
  <cp:revision>2</cp:revision>
  <dcterms:created xsi:type="dcterms:W3CDTF">2018-03-09T14:03:00Z</dcterms:created>
  <dcterms:modified xsi:type="dcterms:W3CDTF">2018-03-09T14:03:00Z</dcterms:modified>
</cp:coreProperties>
</file>