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sz w:val="40"/>
        </w:rPr>
        <w:t>Multi-Asset CTA Strategy V2 — Transition Strategy</w:t>
      </w:r>
    </w:p>
    <w:p>
      <w:pPr>
        <w:jc w:val="center"/>
      </w:pPr>
      <w:r>
        <w:rPr>
          <w:rFonts w:ascii="Aptos" w:hAnsi="Aptos"/>
          <w:b/>
          <w:sz w:val="20"/>
        </w:rPr>
        <w:t>Brief Research Outcomes — Frozen Research Specification v2.0</w:t>
      </w:r>
    </w:p>
    <w:p>
      <w:pPr>
        <w:jc w:val="center"/>
      </w:pPr>
      <w:r>
        <w:rPr>
          <w:rFonts w:ascii="Aptos" w:hAnsi="Aptos"/>
          <w:i/>
          <w:sz w:val="17"/>
        </w:rPr>
        <w:t>September 2026 | Research status: FROZEN | Canonical pseudo-OOS: 2008–2025</w:t>
      </w:r>
    </w:p>
    <w:p>
      <w:pPr>
        <w:pStyle w:val="Heading1"/>
        <w:keepNext/>
        <w:spacing w:before="140" w:after="60"/>
      </w:pPr>
    </w:p>
    <w:p>
      <w:pPr>
        <w:spacing w:after="80" w:line="245" w:lineRule="auto"/>
      </w:pPr>
      <w:r>
        <w:rPr>
          <w:rFonts w:ascii="Aptos" w:hAnsi="Aptos"/>
          <w:sz w:val="17"/>
        </w:rPr>
        <w:t>The project tested whether price-derived transition information can anticipate changes in established trend-following signals and recover part of the return sacrificed by conventional trend confirmation without surrendering the benefit through false reversals, whipsaw, turnover and transaction costs. Research covered conventional trend geometry, SuperbCommand, divergence and volatility features, supervised transition classification, HMM latent-state modelling, event-level economic validation, delayed progressive accumulation, independent sleeve construction, causal thresholding and final robustness testing.</w:t>
      </w:r>
    </w:p>
    <w:p>
      <w:pPr>
        <w:pStyle w:val="Heading1"/>
        <w:keepNext/>
        <w:spacing w:before="140" w:after="6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2F3"/>
            <w:vAlign w:val="center"/>
          </w:tcPr>
          <w:p>
            <w:pPr>
              <w:spacing w:after="0"/>
            </w:pPr>
            <w:r>
              <w:rPr>
                <w:rFonts w:ascii="Aptos" w:hAnsi="Aptos"/>
                <w:b w:val="0"/>
                <w:sz w:val="15"/>
              </w:rPr>
              <w:t>Attribute</w:t>
            </w:r>
          </w:p>
        </w:tc>
        <w:tc>
          <w:tcPr>
            <w:tcW w:type="dxa" w:w="5141"/>
            <w:shd w:fill="D9E2F3"/>
            <w:vAlign w:val="center"/>
          </w:tcPr>
          <w:p>
            <w:pPr>
              <w:spacing w:after="0"/>
            </w:pPr>
            <w:r>
              <w:rPr>
                <w:rFonts w:ascii="Aptos" w:hAnsi="Aptos"/>
                <w:b w:val="0"/>
                <w:sz w:val="15"/>
              </w:rPr>
              <w:t>Frozen choice</w:t>
            </w:r>
          </w:p>
        </w:tc>
      </w:tr>
      <w:tr>
        <w:tc>
          <w:tcPr>
            <w:tcW w:type="dxa" w:w="5141"/>
            <w:vAlign w:val="center"/>
          </w:tcPr>
          <w:p>
            <w:pPr>
              <w:spacing w:after="0"/>
            </w:pPr>
            <w:r>
              <w:rPr>
                <w:rFonts w:ascii="Aptos" w:hAnsi="Aptos"/>
                <w:b w:val="0"/>
                <w:sz w:val="15"/>
              </w:rPr>
              <w:t>Strategic role</w:t>
            </w:r>
          </w:p>
        </w:tc>
        <w:tc>
          <w:tcPr>
            <w:tcW w:type="dxa" w:w="5141"/>
            <w:vAlign w:val="center"/>
          </w:tcPr>
          <w:p>
            <w:pPr>
              <w:spacing w:after="0"/>
            </w:pPr>
            <w:r>
              <w:rPr>
                <w:rFonts w:ascii="Aptos" w:hAnsi="Aptos"/>
                <w:b w:val="0"/>
                <w:sz w:val="15"/>
              </w:rPr>
              <w:t>Transition-alpha sleeve alongside conventional trend following</w:t>
            </w:r>
          </w:p>
        </w:tc>
      </w:tr>
      <w:tr>
        <w:tc>
          <w:tcPr>
            <w:tcW w:type="dxa" w:w="5141"/>
            <w:vAlign w:val="center"/>
          </w:tcPr>
          <w:p>
            <w:pPr>
              <w:spacing w:after="0"/>
            </w:pPr>
            <w:r>
              <w:rPr>
                <w:rFonts w:ascii="Aptos" w:hAnsi="Aptos"/>
                <w:b w:val="0"/>
                <w:sz w:val="15"/>
              </w:rPr>
              <w:t>Conventional benchmark</w:t>
            </w:r>
          </w:p>
        </w:tc>
        <w:tc>
          <w:tcPr>
            <w:tcW w:type="dxa" w:w="5141"/>
            <w:vAlign w:val="center"/>
          </w:tcPr>
          <w:p>
            <w:pPr>
              <w:spacing w:after="0"/>
            </w:pPr>
            <w:r>
              <w:rPr>
                <w:rFonts w:ascii="Aptos" w:hAnsi="Aptos"/>
                <w:b w:val="0"/>
                <w:sz w:val="15"/>
              </w:rPr>
              <w:t>Slow ensemble: 252-observation TSMOM, 100/300 MA, 252-observation breakout; 2-of-3 vote</w:t>
            </w:r>
          </w:p>
        </w:tc>
      </w:tr>
      <w:tr>
        <w:tc>
          <w:tcPr>
            <w:tcW w:type="dxa" w:w="5141"/>
            <w:vAlign w:val="center"/>
          </w:tcPr>
          <w:p>
            <w:pPr>
              <w:spacing w:after="0"/>
            </w:pPr>
            <w:r>
              <w:rPr>
                <w:rFonts w:ascii="Aptos" w:hAnsi="Aptos"/>
                <w:b w:val="0"/>
                <w:sz w:val="15"/>
              </w:rPr>
              <w:t>Transition model</w:t>
            </w:r>
          </w:p>
        </w:tc>
        <w:tc>
          <w:tcPr>
            <w:tcW w:type="dxa" w:w="5141"/>
            <w:vAlign w:val="center"/>
          </w:tcPr>
          <w:p>
            <w:pPr>
              <w:spacing w:after="0"/>
            </w:pPr>
            <w:r>
              <w:rPr>
                <w:rFonts w:ascii="Aptos" w:hAnsi="Aptos"/>
                <w:b w:val="0"/>
                <w:sz w:val="15"/>
              </w:rPr>
              <w:t>Random Forest: RF_unweighted_C_plus_SC_no_MACD</w:t>
            </w:r>
          </w:p>
        </w:tc>
      </w:tr>
      <w:tr>
        <w:tc>
          <w:tcPr>
            <w:tcW w:type="dxa" w:w="5141"/>
            <w:vAlign w:val="center"/>
          </w:tcPr>
          <w:p>
            <w:pPr>
              <w:spacing w:after="0"/>
            </w:pPr>
            <w:r>
              <w:rPr>
                <w:rFonts w:ascii="Aptos" w:hAnsi="Aptos"/>
                <w:b w:val="0"/>
                <w:sz w:val="15"/>
              </w:rPr>
              <w:t>Probability rule</w:t>
            </w:r>
          </w:p>
        </w:tc>
        <w:tc>
          <w:tcPr>
            <w:tcW w:type="dxa" w:w="5141"/>
            <w:vAlign w:val="center"/>
          </w:tcPr>
          <w:p>
            <w:pPr>
              <w:spacing w:after="0"/>
            </w:pPr>
            <w:r>
              <w:rPr>
                <w:rFonts w:ascii="Aptos" w:hAnsi="Aptos"/>
                <w:b w:val="0"/>
                <w:sz w:val="15"/>
              </w:rPr>
              <w:t>Fully causal expanding historical 80th-percentile threshold</w:t>
            </w:r>
          </w:p>
        </w:tc>
      </w:tr>
      <w:tr>
        <w:tc>
          <w:tcPr>
            <w:tcW w:type="dxa" w:w="5141"/>
            <w:vAlign w:val="center"/>
          </w:tcPr>
          <w:p>
            <w:pPr>
              <w:spacing w:after="0"/>
            </w:pPr>
            <w:r>
              <w:rPr>
                <w:rFonts w:ascii="Aptos" w:hAnsi="Aptos"/>
                <w:b w:val="0"/>
                <w:sz w:val="15"/>
              </w:rPr>
              <w:t>Entry delay</w:t>
            </w:r>
          </w:p>
        </w:tc>
        <w:tc>
          <w:tcPr>
            <w:tcW w:type="dxa" w:w="5141"/>
            <w:vAlign w:val="center"/>
          </w:tcPr>
          <w:p>
            <w:pPr>
              <w:spacing w:after="0"/>
            </w:pPr>
            <w:r>
              <w:rPr>
                <w:rFonts w:ascii="Aptos" w:hAnsi="Aptos"/>
                <w:b w:val="0"/>
                <w:sz w:val="15"/>
              </w:rPr>
              <w:t>21 market observations after candidate</w:t>
            </w:r>
          </w:p>
        </w:tc>
      </w:tr>
      <w:tr>
        <w:tc>
          <w:tcPr>
            <w:tcW w:type="dxa" w:w="5141"/>
            <w:vAlign w:val="center"/>
          </w:tcPr>
          <w:p>
            <w:pPr>
              <w:spacing w:after="0"/>
            </w:pPr>
            <w:r>
              <w:rPr>
                <w:rFonts w:ascii="Aptos" w:hAnsi="Aptos"/>
                <w:b w:val="0"/>
                <w:sz w:val="15"/>
              </w:rPr>
              <w:t>Accumulation</w:t>
            </w:r>
          </w:p>
        </w:tc>
        <w:tc>
          <w:tcPr>
            <w:tcW w:type="dxa" w:w="5141"/>
            <w:vAlign w:val="center"/>
          </w:tcPr>
          <w:p>
            <w:pPr>
              <w:spacing w:after="0"/>
            </w:pPr>
            <w:r>
              <w:rPr>
                <w:rFonts w:ascii="Aptos" w:hAnsi="Aptos"/>
                <w:b w:val="0"/>
                <w:sz w:val="15"/>
              </w:rPr>
              <w:t>Progressive 42-observation ramp; maximum transition signal 0.50</w:t>
            </w:r>
          </w:p>
        </w:tc>
      </w:tr>
      <w:tr>
        <w:tc>
          <w:tcPr>
            <w:tcW w:type="dxa" w:w="5141"/>
            <w:vAlign w:val="center"/>
          </w:tcPr>
          <w:p>
            <w:pPr>
              <w:spacing w:after="0"/>
            </w:pPr>
            <w:r>
              <w:rPr>
                <w:rFonts w:ascii="Aptos" w:hAnsi="Aptos"/>
                <w:b w:val="0"/>
                <w:sz w:val="15"/>
              </w:rPr>
              <w:t>Direction sizing</w:t>
            </w:r>
          </w:p>
        </w:tc>
        <w:tc>
          <w:tcPr>
            <w:tcW w:type="dxa" w:w="5141"/>
            <w:vAlign w:val="center"/>
          </w:tcPr>
          <w:p>
            <w:pPr>
              <w:spacing w:after="0"/>
            </w:pPr>
            <w:r>
              <w:rPr>
                <w:rFonts w:ascii="Aptos" w:hAnsi="Aptos"/>
                <w:b w:val="0"/>
                <w:sz w:val="15"/>
              </w:rPr>
              <w:t>Bear→bull 1.0×; bull→bear 0.5×</w:t>
            </w:r>
          </w:p>
        </w:tc>
      </w:tr>
      <w:tr>
        <w:tc>
          <w:tcPr>
            <w:tcW w:type="dxa" w:w="5141"/>
            <w:vAlign w:val="center"/>
          </w:tcPr>
          <w:p>
            <w:pPr>
              <w:spacing w:after="0"/>
            </w:pPr>
            <w:r>
              <w:rPr>
                <w:rFonts w:ascii="Aptos" w:hAnsi="Aptos"/>
                <w:b w:val="0"/>
                <w:sz w:val="15"/>
              </w:rPr>
              <w:t>Portfolio</w:t>
            </w:r>
          </w:p>
        </w:tc>
        <w:tc>
          <w:tcPr>
            <w:tcW w:type="dxa" w:w="5141"/>
            <w:vAlign w:val="center"/>
          </w:tcPr>
          <w:p>
            <w:pPr>
              <w:spacing w:after="0"/>
            </w:pPr>
            <w:r>
              <w:rPr>
                <w:rFonts w:ascii="Aptos" w:hAnsi="Aptos"/>
                <w:b w:val="0"/>
                <w:sz w:val="15"/>
              </w:rPr>
              <w:t>75% conventional sleeve / 25% transition sleeve; independent risk books</w:t>
            </w:r>
          </w:p>
        </w:tc>
      </w:tr>
      <w:tr>
        <w:tc>
          <w:tcPr>
            <w:tcW w:type="dxa" w:w="5141"/>
            <w:vAlign w:val="center"/>
          </w:tcPr>
          <w:p>
            <w:pPr>
              <w:spacing w:after="0"/>
            </w:pPr>
            <w:r>
              <w:rPr>
                <w:rFonts w:ascii="Aptos" w:hAnsi="Aptos"/>
                <w:b w:val="0"/>
                <w:sz w:val="15"/>
              </w:rPr>
              <w:t>Decision frequency</w:t>
            </w:r>
          </w:p>
        </w:tc>
        <w:tc>
          <w:tcPr>
            <w:tcW w:type="dxa" w:w="5141"/>
            <w:vAlign w:val="center"/>
          </w:tcPr>
          <w:p>
            <w:pPr>
              <w:spacing w:after="0"/>
            </w:pPr>
            <w:r>
              <w:rPr>
                <w:rFonts w:ascii="Aptos" w:hAnsi="Aptos"/>
                <w:b w:val="0"/>
                <w:sz w:val="15"/>
              </w:rPr>
              <w:t>Weekly, Friday; positions lagged one decision</w:t>
            </w:r>
          </w:p>
        </w:tc>
      </w:tr>
      <w:tr>
        <w:tc>
          <w:tcPr>
            <w:tcW w:type="dxa" w:w="5141"/>
            <w:vAlign w:val="center"/>
          </w:tcPr>
          <w:p>
            <w:pPr>
              <w:spacing w:after="0"/>
            </w:pPr>
            <w:r>
              <w:rPr>
                <w:rFonts w:ascii="Aptos" w:hAnsi="Aptos"/>
                <w:b w:val="0"/>
                <w:sz w:val="15"/>
              </w:rPr>
              <w:t>Volatility scaling</w:t>
            </w:r>
          </w:p>
        </w:tc>
        <w:tc>
          <w:tcPr>
            <w:tcW w:type="dxa" w:w="5141"/>
            <w:vAlign w:val="center"/>
          </w:tcPr>
          <w:p>
            <w:pPr>
              <w:spacing w:after="0"/>
            </w:pPr>
            <w:r>
              <w:rPr>
                <w:rFonts w:ascii="Aptos" w:hAnsi="Aptos"/>
                <w:b w:val="0"/>
                <w:sz w:val="15"/>
              </w:rPr>
              <w:t>10% market/sleeve/hybrid targets; 26-week sleeve/hybrid estimates; 2× caps</w:t>
            </w:r>
          </w:p>
        </w:tc>
      </w:tr>
      <w:tr>
        <w:tc>
          <w:tcPr>
            <w:tcW w:type="dxa" w:w="5141"/>
            <w:vAlign w:val="center"/>
          </w:tcPr>
          <w:p>
            <w:pPr>
              <w:spacing w:after="0"/>
            </w:pPr>
            <w:r>
              <w:rPr>
                <w:rFonts w:ascii="Aptos" w:hAnsi="Aptos"/>
                <w:b w:val="0"/>
                <w:sz w:val="15"/>
              </w:rPr>
              <w:t>Canonical evaluation</w:t>
            </w:r>
          </w:p>
        </w:tc>
        <w:tc>
          <w:tcPr>
            <w:tcW w:type="dxa" w:w="5141"/>
            <w:vAlign w:val="center"/>
          </w:tcPr>
          <w:p>
            <w:pPr>
              <w:spacing w:after="0"/>
            </w:pPr>
            <w:r>
              <w:rPr>
                <w:rFonts w:ascii="Aptos" w:hAnsi="Aptos"/>
                <w:b w:val="0"/>
                <w:sz w:val="15"/>
              </w:rPr>
              <w:t>Expanding historical pseudo-OOS, 2008–2025</w:t>
            </w:r>
          </w:p>
        </w:tc>
      </w:tr>
    </w:tbl>
    <w:p>
      <w:pPr>
        <w:pStyle w:val="Heading1"/>
        <w:keepNext/>
        <w:spacing w:before="140" w:after="60"/>
      </w:pPr>
    </w:p>
    <w:p>
      <w:pPr>
        <w:pStyle w:val="ListBullet"/>
        <w:spacing w:after="40" w:line="240" w:lineRule="auto"/>
      </w:pPr>
      <w:r>
        <w:rPr>
          <w:rFonts w:ascii="Aptos" w:hAnsi="Aptos"/>
          <w:sz w:val="17"/>
        </w:rPr>
        <w:t>Conventional transition geometry is indispensable. Trend age, incumbent move, multi-horizon momentum and distance to confirmation provided the core predictive information; the project did not need an opaque end-to-end model to discover transition structure.</w:t>
      </w:r>
    </w:p>
    <w:p>
      <w:pPr>
        <w:pStyle w:val="ListBullet"/>
        <w:spacing w:after="40" w:line="240" w:lineRule="auto"/>
      </w:pPr>
      <w:r>
        <w:rPr>
          <w:rFonts w:ascii="Aptos" w:hAnsi="Aptos"/>
          <w:sz w:val="17"/>
        </w:rPr>
        <w:t>SuperbCommand earned a narrower role. SuperbCommand state and geometry added incremental nonlinear information beyond conventional features, particularly for bull→bear transitions and in equity indices/commodities. It was retained as an input layer rather than the conventional trend backbone.</w:t>
      </w:r>
    </w:p>
    <w:p>
      <w:pPr>
        <w:pStyle w:val="ListBullet"/>
        <w:spacing w:after="40" w:line="240" w:lineRule="auto"/>
      </w:pPr>
      <w:r>
        <w:rPr>
          <w:rFonts w:ascii="Aptos" w:hAnsi="Aptos"/>
          <w:sz w:val="17"/>
        </w:rPr>
        <w:t>MACD divergence and explicit volatility blocks did not justify separate inclusion. Their incremental value was weak or heterogeneous once stronger conventional and SuperbCommand information was present.</w:t>
      </w:r>
    </w:p>
    <w:p>
      <w:pPr>
        <w:pStyle w:val="ListBullet"/>
        <w:spacing w:after="40" w:line="240" w:lineRule="auto"/>
      </w:pPr>
      <w:r>
        <w:rPr>
          <w:rFonts w:ascii="Aptos" w:hAnsi="Aptos"/>
          <w:sz w:val="17"/>
        </w:rPr>
        <w:t>Random Forest outperformed the transparent logistic benchmark. The frozen unweighted RF provided both useful discrimination and sensible aggregate probability calibration.</w:t>
      </w:r>
    </w:p>
    <w:p>
      <w:pPr>
        <w:pStyle w:val="ListBullet"/>
        <w:spacing w:after="40" w:line="240" w:lineRule="auto"/>
      </w:pPr>
      <w:r>
        <w:rPr>
          <w:rFonts w:ascii="Aptos" w:hAnsi="Aptos"/>
          <w:sz w:val="17"/>
        </w:rPr>
        <w:t>HMM complexity was rejected. Continuous market-time, causal HMMs displayed descriptive latent migration, but every tested HMM augmentation worsened OOS discrimination/calibration relative to the frozen Book 04 model. The result survived standardisation, robust PCA, price-only, volatility-only, joint and parallel latent-process specifications.</w:t>
      </w:r>
    </w:p>
    <w:p>
      <w:pPr>
        <w:pStyle w:val="ListBullet"/>
        <w:spacing w:after="40" w:line="240" w:lineRule="auto"/>
      </w:pPr>
      <w:r>
        <w:rPr>
          <w:rFonts w:ascii="Aptos" w:hAnsi="Aptos"/>
          <w:sz w:val="17"/>
        </w:rPr>
        <w:t>Transition probability is economically informative, but not immediately. Event-level forward-return separation was negligible at five observations and became materially positive around 21 observations onward, supporting a delayed transition interpretation rather than exact turning-point prediction.</w:t>
      </w:r>
    </w:p>
    <w:p>
      <w:pPr>
        <w:pStyle w:val="ListBullet"/>
        <w:spacing w:after="40" w:line="240" w:lineRule="auto"/>
      </w:pPr>
      <w:r>
        <w:rPr>
          <w:rFonts w:ascii="Aptos" w:hAnsi="Aptos"/>
          <w:sz w:val="17"/>
        </w:rPr>
        <w:t>Independent sleeves were essential. Normalising the combined conventional-plus-transition position book diluted the sparse transition sleeve; constructing and volatility-scaling the two sleeves independently before portfolio combination corrected the architecture.</w:t>
      </w:r>
    </w:p>
    <w:p>
      <w:pPr>
        <w:pStyle w:val="ListBullet"/>
        <w:spacing w:after="40" w:line="240" w:lineRule="auto"/>
      </w:pPr>
      <w:r>
        <w:rPr>
          <w:rFonts w:ascii="Aptos" w:hAnsi="Aptos"/>
          <w:sz w:val="17"/>
        </w:rPr>
        <w:t>Early 10-observation accumulation was rejected. A 21-observation delay produced the strongest robust portfolio implementation, while 42 observations remained positive but slower.</w:t>
      </w:r>
    </w:p>
    <w:p>
      <w:pPr>
        <w:pStyle w:val="ListBullet"/>
        <w:spacing w:after="40" w:line="240" w:lineRule="auto"/>
      </w:pPr>
      <w:r>
        <w:rPr>
          <w:rFonts w:ascii="Aptos" w:hAnsi="Aptos"/>
          <w:sz w:val="17"/>
        </w:rPr>
        <w:t>Equity-index transitions are the strongest source of observed transition alpha. The strategy remains multi-asset, but removing indices eliminates most incremental benefit; removing Bitcoin does not.</w:t>
      </w:r>
    </w:p>
    <w:p>
      <w:pPr>
        <w:pStyle w:val="ListBullet"/>
        <w:spacing w:after="40" w:line="240" w:lineRule="auto"/>
      </w:pPr>
      <w:r>
        <w:rPr>
          <w:rFonts w:ascii="Aptos" w:hAnsi="Aptos"/>
          <w:sz w:val="17"/>
        </w:rPr>
        <w:t>The final result is robust rather than knife-edge. Neighbouring probability thresholds, delays, ramp speeds, transition allocations and bearish sizing choices generally preserve positive incremental value.</w:t>
      </w:r>
    </w:p>
    <w:p>
      <w:pPr>
        <w:pStyle w:val="Heading1"/>
        <w:keepNext/>
        <w:spacing w:before="140" w:after="60"/>
      </w:pPr>
    </w:p>
    <w:p>
      <w:pPr>
        <w:spacing w:after="80" w:line="245" w:lineRule="auto"/>
      </w:pPr>
      <w:r>
        <w:rPr>
          <w:rFonts w:ascii="Aptos" w:hAnsi="Aptos"/>
          <w:sz w:val="17"/>
        </w:rPr>
        <w:t>Across the canonical Book 04 OOS prediction sample, the frozen RF_unweighted_C_plus_SC_no_MACD model produced approximately 0.748 ROC AUC, 0.576 PR AUC, 0.185 Brier score and 0.550 log loss. The unconditional genuine-transition rate was approximately 32.5%, while the top probability quintile contained approximately 63.6% genuine transitions — about 1.96× lift over the base rate.</w:t>
      </w:r>
    </w:p>
    <w:p>
      <w:pPr>
        <w:spacing w:after="80" w:line="245" w:lineRule="auto"/>
      </w:pPr>
      <w:r>
        <w:rPr>
          <w:rFonts w:ascii="Aptos" w:hAnsi="Aptos"/>
          <w:sz w:val="17"/>
        </w:rPr>
        <w:t>Directionally, SuperbCommand added considerably more incremental information for bull→bear transitions than for bear→bull transitions. Asset-class evidence was strongest in commodities and equity indices, with smaller improvements in bonds/rates and FX. Bitcoin was too sparse to drive the model-level conclusion.</w:t>
      </w:r>
    </w:p>
    <w:p>
      <w:pPr>
        <w:pStyle w:val="Heading1"/>
        <w:keepNext/>
        <w:spacing w:before="140" w:after="60"/>
      </w:pPr>
    </w:p>
    <w:p>
      <w:pPr>
        <w:spacing w:after="80" w:line="245" w:lineRule="auto"/>
      </w:pPr>
      <w:r>
        <w:rPr>
          <w:rFonts w:ascii="Aptos" w:hAnsi="Aptos"/>
          <w:sz w:val="17"/>
        </w:rPr>
        <w:t>Book 05 deliberately stress-tested the latent-regime hypothesis rather than accepting an HMM because it fit the narrative. On the common transformed-HMM comparison sample, the frozen Book 04 benchmark achieved approximately 0.754 ROC AUC and 0.580 PR AUC. HMM-only specifications were much weaker, and every Book 04 + HMM augmentation reduced AUC, worsened probability metrics and weakened top-quintile enrichment.</w:t>
      </w:r>
    </w:p>
    <w:p>
      <w:pPr>
        <w:spacing w:after="80" w:line="245" w:lineRule="auto"/>
      </w:pPr>
      <w:r>
        <w:rPr>
          <w:rFonts w:ascii="Aptos" w:hAnsi="Aptos"/>
          <w:sz w:val="17"/>
        </w:rPr>
        <w:t>Latent migration was nevertheless observable descriptively: successor-state probabilities tended to be higher for genuine than failed transitions. The research conclusion was therefore not that regimes do not exist, but that an HMM was an inefficient way to convert that migration into incremental predictive alpha. HMMs were rejected from the frozen V2 architecture.</w:t>
      </w:r>
    </w:p>
    <w:p>
      <w:pPr>
        <w:pStyle w:val="Heading1"/>
        <w:keepNext/>
        <w:spacing w:before="140" w:after="60"/>
      </w:pPr>
    </w:p>
    <w:p>
      <w:pPr>
        <w:spacing w:after="80" w:line="245" w:lineRule="auto"/>
      </w:pPr>
      <w:r>
        <w:rPr>
          <w:rFonts w:ascii="Aptos" w:hAnsi="Aptos"/>
          <w:sz w:val="17"/>
        </w:rPr>
        <w:t>Book 06 established that classification quality translated into forward-return information. Top-minus-all candidate-direction return was essentially zero after five observations, approximately +0.30% after 10, +0.64% after 21, +0.86% after 63 and roughly +1.16% after 126 observations. At 21 observations, probability-quintile mean returns were perfectly monotonic in the sample (Spearman ρ = 1.0).</w:t>
      </w:r>
    </w:p>
    <w:p>
      <w:pPr>
        <w:spacing w:after="80" w:line="245" w:lineRule="auto"/>
      </w:pPr>
      <w:r>
        <w:rPr>
          <w:rFonts w:ascii="Aptos" w:hAnsi="Aptos"/>
          <w:sz w:val="17"/>
        </w:rPr>
        <w:t>The 21-observation year-cluster bootstrap produced a +0.645% spread with an approximate 95% interval of +0.036% to +1.234% and a 98.2% probability of a positive spread. Genuine transitions had strongly positive candidate-direction returns while failed transitions were negative, demonstrating that the classifier separated economically distinct event types.</w:t>
      </w:r>
    </w:p>
    <w:p>
      <w:pPr>
        <w:spacing w:after="80" w:line="245" w:lineRule="auto"/>
      </w:pPr>
      <w:r>
        <w:rPr>
          <w:rFonts w:ascii="Aptos" w:hAnsi="Aptos"/>
          <w:sz w:val="17"/>
        </w:rPr>
        <w:t>Bear→bull transitions showed the clearest economic payoff. Bull→bear classification was informative but did not automatically imply profitable immediate anticipatory shorting, motivating conservative asymmetric sizing in the frozen portfolio.</w:t>
      </w:r>
    </w:p>
    <w:p>
      <w:pPr>
        <w:pStyle w:val="Heading1"/>
        <w:keepNext/>
        <w:spacing w:before="140" w:after="60"/>
      </w:pPr>
    </w:p>
    <w:p>
      <w:pPr>
        <w:spacing w:after="80" w:line="245" w:lineRule="auto"/>
      </w:pPr>
      <w:r>
        <w:rPr>
          <w:rFonts w:ascii="Aptos" w:hAnsi="Aptos"/>
          <w:sz w:val="17"/>
        </w:rPr>
        <w:t>Across the corrected 2008–2025 expanding pseudo-OOS period, the final causal transition overlay materially improved the conventional CTA while leaving maximum drawdown essentially unchanged.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2F3"/>
          </w:tcPr>
          <w:p>
            <w:pPr>
              <w:spacing w:after="0"/>
            </w:pPr>
            <w:r>
              <w:rPr>
                <w:rFonts w:ascii="Aptos" w:hAnsi="Aptos"/>
                <w:b w:val="0"/>
                <w:sz w:val="16"/>
              </w:rPr>
              <w:t>Metric</w:t>
            </w:r>
          </w:p>
        </w:tc>
        <w:tc>
          <w:tcPr>
            <w:tcW w:type="dxa" w:w="3427"/>
            <w:shd w:fill="D9E2F3"/>
          </w:tcPr>
          <w:p>
            <w:pPr>
              <w:spacing w:after="0"/>
            </w:pPr>
            <w:r>
              <w:rPr>
                <w:rFonts w:ascii="Aptos" w:hAnsi="Aptos"/>
                <w:b w:val="0"/>
                <w:sz w:val="16"/>
              </w:rPr>
              <w:t>Conventional CTA</w:t>
            </w:r>
          </w:p>
        </w:tc>
        <w:tc>
          <w:tcPr>
            <w:tcW w:type="dxa" w:w="3427"/>
            <w:shd w:fill="D9E2F3"/>
          </w:tcPr>
          <w:p>
            <w:pPr>
              <w:spacing w:after="0"/>
            </w:pPr>
            <w:r>
              <w:rPr>
                <w:rFonts w:ascii="Aptos" w:hAnsi="Aptos"/>
                <w:b w:val="0"/>
                <w:sz w:val="16"/>
              </w:rPr>
              <w:t>V2 Hybrid</w:t>
            </w:r>
          </w:p>
        </w:tc>
      </w:tr>
      <w:tr>
        <w:tc>
          <w:tcPr>
            <w:tcW w:type="dxa" w:w="3427"/>
          </w:tcPr>
          <w:p>
            <w:pPr>
              <w:spacing w:after="0"/>
            </w:pPr>
            <w:r>
              <w:rPr>
                <w:rFonts w:ascii="Aptos" w:hAnsi="Aptos"/>
                <w:b w:val="0"/>
                <w:sz w:val="16"/>
              </w:rPr>
              <w:t>Annualised return</w:t>
            </w:r>
          </w:p>
        </w:tc>
        <w:tc>
          <w:tcPr>
            <w:tcW w:type="dxa" w:w="3427"/>
          </w:tcPr>
          <w:p>
            <w:pPr>
              <w:spacing w:after="0"/>
            </w:pPr>
            <w:r>
              <w:rPr>
                <w:rFonts w:ascii="Aptos" w:hAnsi="Aptos"/>
                <w:b w:val="0"/>
                <w:sz w:val="16"/>
              </w:rPr>
              <w:t>2.56%</w:t>
            </w:r>
          </w:p>
        </w:tc>
        <w:tc>
          <w:tcPr>
            <w:tcW w:type="dxa" w:w="3427"/>
          </w:tcPr>
          <w:p>
            <w:pPr>
              <w:spacing w:after="0"/>
            </w:pPr>
            <w:r>
              <w:rPr>
                <w:rFonts w:ascii="Aptos" w:hAnsi="Aptos"/>
                <w:b w:val="0"/>
                <w:sz w:val="16"/>
              </w:rPr>
              <w:t>5.25%</w:t>
            </w:r>
          </w:p>
        </w:tc>
      </w:tr>
      <w:tr>
        <w:tc>
          <w:tcPr>
            <w:tcW w:type="dxa" w:w="3427"/>
          </w:tcPr>
          <w:p>
            <w:pPr>
              <w:spacing w:after="0"/>
            </w:pPr>
            <w:r>
              <w:rPr>
                <w:rFonts w:ascii="Aptos" w:hAnsi="Aptos"/>
                <w:b w:val="0"/>
                <w:sz w:val="16"/>
              </w:rPr>
              <w:t>Annualised volatility</w:t>
            </w:r>
          </w:p>
        </w:tc>
        <w:tc>
          <w:tcPr>
            <w:tcW w:type="dxa" w:w="3427"/>
          </w:tcPr>
          <w:p>
            <w:pPr>
              <w:spacing w:after="0"/>
            </w:pPr>
            <w:r>
              <w:rPr>
                <w:rFonts w:ascii="Aptos" w:hAnsi="Aptos"/>
                <w:b w:val="0"/>
                <w:sz w:val="16"/>
              </w:rPr>
              <w:t>7.69%</w:t>
            </w:r>
          </w:p>
        </w:tc>
        <w:tc>
          <w:tcPr>
            <w:tcW w:type="dxa" w:w="3427"/>
          </w:tcPr>
          <w:p>
            <w:pPr>
              <w:spacing w:after="0"/>
            </w:pPr>
            <w:r>
              <w:rPr>
                <w:rFonts w:ascii="Aptos" w:hAnsi="Aptos"/>
                <w:b w:val="0"/>
                <w:sz w:val="16"/>
              </w:rPr>
              <w:t>10.42%</w:t>
            </w:r>
          </w:p>
        </w:tc>
      </w:tr>
      <w:tr>
        <w:tc>
          <w:tcPr>
            <w:tcW w:type="dxa" w:w="3427"/>
          </w:tcPr>
          <w:p>
            <w:pPr>
              <w:spacing w:after="0"/>
            </w:pPr>
            <w:r>
              <w:rPr>
                <w:rFonts w:ascii="Aptos" w:hAnsi="Aptos"/>
                <w:b w:val="0"/>
                <w:sz w:val="16"/>
              </w:rPr>
              <w:t>Sharpe ratio</w:t>
            </w:r>
          </w:p>
        </w:tc>
        <w:tc>
          <w:tcPr>
            <w:tcW w:type="dxa" w:w="3427"/>
          </w:tcPr>
          <w:p>
            <w:pPr>
              <w:spacing w:after="0"/>
            </w:pPr>
            <w:r>
              <w:rPr>
                <w:rFonts w:ascii="Aptos" w:hAnsi="Aptos"/>
                <w:b w:val="0"/>
                <w:sz w:val="16"/>
              </w:rPr>
              <w:t>0.333</w:t>
            </w:r>
          </w:p>
        </w:tc>
        <w:tc>
          <w:tcPr>
            <w:tcW w:type="dxa" w:w="3427"/>
          </w:tcPr>
          <w:p>
            <w:pPr>
              <w:spacing w:after="0"/>
            </w:pPr>
            <w:r>
              <w:rPr>
                <w:rFonts w:ascii="Aptos" w:hAnsi="Aptos"/>
                <w:b w:val="0"/>
                <w:sz w:val="16"/>
              </w:rPr>
              <w:t>0.504</w:t>
            </w:r>
          </w:p>
        </w:tc>
      </w:tr>
      <w:tr>
        <w:tc>
          <w:tcPr>
            <w:tcW w:type="dxa" w:w="3427"/>
          </w:tcPr>
          <w:p>
            <w:pPr>
              <w:spacing w:after="0"/>
            </w:pPr>
            <w:r>
              <w:rPr>
                <w:rFonts w:ascii="Aptos" w:hAnsi="Aptos"/>
                <w:b w:val="0"/>
                <w:sz w:val="16"/>
              </w:rPr>
              <w:t>Maximum drawdown</w:t>
            </w:r>
          </w:p>
        </w:tc>
        <w:tc>
          <w:tcPr>
            <w:tcW w:type="dxa" w:w="3427"/>
          </w:tcPr>
          <w:p>
            <w:pPr>
              <w:spacing w:after="0"/>
            </w:pPr>
            <w:r>
              <w:rPr>
                <w:rFonts w:ascii="Aptos" w:hAnsi="Aptos"/>
                <w:b w:val="0"/>
                <w:sz w:val="16"/>
              </w:rPr>
              <w:t>−16.40%</w:t>
            </w:r>
          </w:p>
        </w:tc>
        <w:tc>
          <w:tcPr>
            <w:tcW w:type="dxa" w:w="3427"/>
          </w:tcPr>
          <w:p>
            <w:pPr>
              <w:spacing w:after="0"/>
            </w:pPr>
            <w:r>
              <w:rPr>
                <w:rFonts w:ascii="Aptos" w:hAnsi="Aptos"/>
                <w:b w:val="0"/>
                <w:sz w:val="16"/>
              </w:rPr>
              <w:t>−16.43%</w:t>
            </w:r>
          </w:p>
        </w:tc>
      </w:tr>
    </w:tbl>
    <w:p>
      <w:pPr>
        <w:spacing w:after="80" w:line="245" w:lineRule="auto"/>
      </w:pPr>
      <w:r>
        <w:rPr>
          <w:rFonts w:ascii="Aptos" w:hAnsi="Aptos"/>
          <w:sz w:val="17"/>
        </w:rPr>
        <w:t>The overlay therefore added approximately +2.69 percentage points of annualised return and +0.171 Sharpe with virtually no change in maximum drawdown. The transition sleeve was active in roughly 53% of weeks and held about 2.2 active markets on average when active, consistent with a sparse transition opportunity set rather than an always-on risk premium.</w:t>
      </w:r>
    </w:p>
    <w:p>
      <w:pPr>
        <w:pStyle w:val="Heading1"/>
        <w:keepNext/>
        <w:spacing w:before="140" w:after="60"/>
      </w:pPr>
    </w:p>
    <w:p>
      <w:pPr>
        <w:pStyle w:val="ListBullet"/>
        <w:spacing w:after="40" w:line="240" w:lineRule="auto"/>
      </w:pPr>
      <w:r>
        <w:rPr>
          <w:rFonts w:ascii="Aptos" w:hAnsi="Aptos"/>
          <w:sz w:val="17"/>
        </w:rPr>
        <w:t>Causal probability thresholds at the 75th, 80th and 85th percentiles all beat the conventional benchmark; the frozen 80th-percentile rule was not an isolated optimum.</w:t>
      </w:r>
    </w:p>
    <w:p>
      <w:pPr>
        <w:pStyle w:val="ListBullet"/>
        <w:spacing w:after="40" w:line="240" w:lineRule="auto"/>
      </w:pPr>
      <w:r>
        <w:rPr>
          <w:rFonts w:ascii="Aptos" w:hAnsi="Aptos"/>
          <w:sz w:val="17"/>
        </w:rPr>
        <w:t>Entry delays of 10, 21 and 42 observations all retained positive incremental Sharpe; 21 observations was strongest among the deliberately coarse alternatives.</w:t>
      </w:r>
    </w:p>
    <w:p>
      <w:pPr>
        <w:pStyle w:val="ListBullet"/>
        <w:spacing w:after="40" w:line="240" w:lineRule="auto"/>
      </w:pPr>
      <w:r>
        <w:rPr>
          <w:rFonts w:ascii="Aptos" w:hAnsi="Aptos"/>
          <w:sz w:val="17"/>
        </w:rPr>
        <w:t>Ramp periods of 21, 42 and 63 observations were highly stable, supporting progressive accumulation without precise ramp optimization.</w:t>
      </w:r>
    </w:p>
    <w:p>
      <w:pPr>
        <w:pStyle w:val="ListBullet"/>
        <w:spacing w:after="40" w:line="240" w:lineRule="auto"/>
      </w:pPr>
      <w:r>
        <w:rPr>
          <w:rFonts w:ascii="Aptos" w:hAnsi="Aptos"/>
          <w:sz w:val="17"/>
        </w:rPr>
        <w:t>Transition allocations of 10%, 25% and 40% all preserved positive incremental value; the frozen 25% allocation remained a sensible intermediate choice.</w:t>
      </w:r>
    </w:p>
    <w:p>
      <w:pPr>
        <w:pStyle w:val="ListBullet"/>
        <w:spacing w:after="40" w:line="240" w:lineRule="auto"/>
      </w:pPr>
      <w:r>
        <w:rPr>
          <w:rFonts w:ascii="Aptos" w:hAnsi="Aptos"/>
          <w:sz w:val="17"/>
        </w:rPr>
        <w:t>Eliminating bull→bear shorts weakened the strategy, while full-sized shorts performed somewhat better than the frozen 0.5× sizing. The frozen conservative sizing was retained because Book 08 was a falsification exercise, not a final optimization opportunity.</w:t>
      </w:r>
    </w:p>
    <w:p>
      <w:pPr>
        <w:pStyle w:val="ListBullet"/>
        <w:spacing w:after="40" w:line="240" w:lineRule="auto"/>
      </w:pPr>
      <w:r>
        <w:rPr>
          <w:rFonts w:ascii="Aptos" w:hAnsi="Aptos"/>
          <w:sz w:val="17"/>
        </w:rPr>
        <w:t>All four major subperiods (2008–12, 2013–17, 2018–21 and 2022–25) showed positive incremental annual return. Sharpe improved in the first three and deteriorated modestly in 2022–25.</w:t>
      </w:r>
    </w:p>
    <w:p>
      <w:pPr>
        <w:pStyle w:val="ListBullet"/>
        <w:spacing w:after="40" w:line="240" w:lineRule="auto"/>
      </w:pPr>
      <w:r>
        <w:rPr>
          <w:rFonts w:ascii="Aptos" w:hAnsi="Aptos"/>
          <w:sz w:val="17"/>
        </w:rPr>
        <w:t>The overlay added annual return in 11 of 18 OOS years. Strong and weak years coexist, which is consistent with episodic transition alpha rather than an implausibly uniform premium.</w:t>
      </w:r>
    </w:p>
    <w:p>
      <w:pPr>
        <w:pStyle w:val="ListBullet"/>
        <w:spacing w:after="40" w:line="240" w:lineRule="auto"/>
      </w:pPr>
      <w:r>
        <w:rPr>
          <w:rFonts w:ascii="Aptos" w:hAnsi="Aptos"/>
          <w:sz w:val="17"/>
        </w:rPr>
        <w:t>Removing digital assets left a substantial improvement, confirming Bitcoin was not driving the result. The strongest structural dependence was equity indices: excluding indices removed most incremental benefit.</w:t>
      </w:r>
    </w:p>
    <w:p>
      <w:pPr>
        <w:pStyle w:val="Heading1"/>
        <w:keepNext/>
        <w:spacing w:before="140" w:after="60"/>
      </w:pPr>
    </w:p>
    <w:p>
      <w:pPr>
        <w:spacing w:after="80" w:line="245" w:lineRule="auto"/>
      </w:pPr>
      <w:r>
        <w:rPr>
          <w:rFonts w:ascii="Aptos" w:hAnsi="Aptos"/>
          <w:sz w:val="17"/>
        </w:rPr>
        <w:t>The final cost test charges weighted sleeve turnover after applying the final hybrid volatility-scaling leverage. The hybrid remained materially stronger under moderate costs, but implementation efficiency is important.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2F3"/>
          </w:tcPr>
          <w:p>
            <w:pPr>
              <w:spacing w:after="0"/>
            </w:pPr>
            <w:r>
              <w:rPr>
                <w:rFonts w:ascii="Aptos" w:hAnsi="Aptos"/>
                <w:b w:val="0"/>
                <w:sz w:val="16"/>
              </w:rPr>
              <w:t>One-way cost</w:t>
            </w:r>
          </w:p>
        </w:tc>
        <w:tc>
          <w:tcPr>
            <w:tcW w:type="dxa" w:w="3427"/>
            <w:shd w:fill="D9E2F3"/>
          </w:tcPr>
          <w:p>
            <w:pPr>
              <w:spacing w:after="0"/>
            </w:pPr>
            <w:r>
              <w:rPr>
                <w:rFonts w:ascii="Aptos" w:hAnsi="Aptos"/>
                <w:b w:val="0"/>
                <w:sz w:val="16"/>
              </w:rPr>
              <w:t>Hybrid annualised return</w:t>
            </w:r>
          </w:p>
        </w:tc>
        <w:tc>
          <w:tcPr>
            <w:tcW w:type="dxa" w:w="3427"/>
            <w:shd w:fill="D9E2F3"/>
          </w:tcPr>
          <w:p>
            <w:pPr>
              <w:spacing w:after="0"/>
            </w:pPr>
            <w:r>
              <w:rPr>
                <w:rFonts w:ascii="Aptos" w:hAnsi="Aptos"/>
                <w:b w:val="0"/>
                <w:sz w:val="16"/>
              </w:rPr>
              <w:t>Hybrid Sharpe</w:t>
            </w:r>
          </w:p>
        </w:tc>
      </w:tr>
      <w:tr>
        <w:tc>
          <w:tcPr>
            <w:tcW w:type="dxa" w:w="3427"/>
          </w:tcPr>
          <w:p>
            <w:pPr>
              <w:spacing w:after="0"/>
            </w:pPr>
            <w:r>
              <w:rPr>
                <w:rFonts w:ascii="Aptos" w:hAnsi="Aptos"/>
                <w:b w:val="0"/>
                <w:sz w:val="16"/>
              </w:rPr>
              <w:t>0 bps</w:t>
            </w:r>
          </w:p>
        </w:tc>
        <w:tc>
          <w:tcPr>
            <w:tcW w:type="dxa" w:w="3427"/>
          </w:tcPr>
          <w:p>
            <w:pPr>
              <w:spacing w:after="0"/>
            </w:pPr>
            <w:r>
              <w:rPr>
                <w:rFonts w:ascii="Aptos" w:hAnsi="Aptos"/>
                <w:b w:val="0"/>
                <w:sz w:val="16"/>
              </w:rPr>
              <w:t>5.25%</w:t>
            </w:r>
          </w:p>
        </w:tc>
        <w:tc>
          <w:tcPr>
            <w:tcW w:type="dxa" w:w="3427"/>
          </w:tcPr>
          <w:p>
            <w:pPr>
              <w:spacing w:after="0"/>
            </w:pPr>
            <w:r>
              <w:rPr>
                <w:rFonts w:ascii="Aptos" w:hAnsi="Aptos"/>
                <w:b w:val="0"/>
                <w:sz w:val="16"/>
              </w:rPr>
              <w:t>0.504</w:t>
            </w:r>
          </w:p>
        </w:tc>
      </w:tr>
      <w:tr>
        <w:tc>
          <w:tcPr>
            <w:tcW w:type="dxa" w:w="3427"/>
          </w:tcPr>
          <w:p>
            <w:pPr>
              <w:spacing w:after="0"/>
            </w:pPr>
            <w:r>
              <w:rPr>
                <w:rFonts w:ascii="Aptos" w:hAnsi="Aptos"/>
                <w:b w:val="0"/>
                <w:sz w:val="16"/>
              </w:rPr>
              <w:t>5 bps</w:t>
            </w:r>
          </w:p>
        </w:tc>
        <w:tc>
          <w:tcPr>
            <w:tcW w:type="dxa" w:w="3427"/>
          </w:tcPr>
          <w:p>
            <w:pPr>
              <w:spacing w:after="0"/>
            </w:pPr>
            <w:r>
              <w:rPr>
                <w:rFonts w:ascii="Aptos" w:hAnsi="Aptos"/>
                <w:b w:val="0"/>
                <w:sz w:val="16"/>
              </w:rPr>
              <w:t>4.25%</w:t>
            </w:r>
          </w:p>
        </w:tc>
        <w:tc>
          <w:tcPr>
            <w:tcW w:type="dxa" w:w="3427"/>
          </w:tcPr>
          <w:p>
            <w:pPr>
              <w:spacing w:after="0"/>
            </w:pPr>
            <w:r>
              <w:rPr>
                <w:rFonts w:ascii="Aptos" w:hAnsi="Aptos"/>
                <w:b w:val="0"/>
                <w:sz w:val="16"/>
              </w:rPr>
              <w:t>0.408</w:t>
            </w:r>
          </w:p>
        </w:tc>
      </w:tr>
      <w:tr>
        <w:tc>
          <w:tcPr>
            <w:tcW w:type="dxa" w:w="3427"/>
          </w:tcPr>
          <w:p>
            <w:pPr>
              <w:spacing w:after="0"/>
            </w:pPr>
            <w:r>
              <w:rPr>
                <w:rFonts w:ascii="Aptos" w:hAnsi="Aptos"/>
                <w:b w:val="0"/>
                <w:sz w:val="16"/>
              </w:rPr>
              <w:t>10 bps</w:t>
            </w:r>
          </w:p>
        </w:tc>
        <w:tc>
          <w:tcPr>
            <w:tcW w:type="dxa" w:w="3427"/>
          </w:tcPr>
          <w:p>
            <w:pPr>
              <w:spacing w:after="0"/>
            </w:pPr>
            <w:r>
              <w:rPr>
                <w:rFonts w:ascii="Aptos" w:hAnsi="Aptos"/>
                <w:b w:val="0"/>
                <w:sz w:val="16"/>
              </w:rPr>
              <w:t>3.25%</w:t>
            </w:r>
          </w:p>
        </w:tc>
        <w:tc>
          <w:tcPr>
            <w:tcW w:type="dxa" w:w="3427"/>
          </w:tcPr>
          <w:p>
            <w:pPr>
              <w:spacing w:after="0"/>
            </w:pPr>
            <w:r>
              <w:rPr>
                <w:rFonts w:ascii="Aptos" w:hAnsi="Aptos"/>
                <w:b w:val="0"/>
                <w:sz w:val="16"/>
              </w:rPr>
              <w:t>0.312</w:t>
            </w:r>
          </w:p>
        </w:tc>
      </w:tr>
      <w:tr>
        <w:tc>
          <w:tcPr>
            <w:tcW w:type="dxa" w:w="3427"/>
          </w:tcPr>
          <w:p>
            <w:pPr>
              <w:spacing w:after="0"/>
            </w:pPr>
            <w:r>
              <w:rPr>
                <w:rFonts w:ascii="Aptos" w:hAnsi="Aptos"/>
                <w:b w:val="0"/>
                <w:sz w:val="16"/>
              </w:rPr>
              <w:t>25 bps</w:t>
            </w:r>
          </w:p>
        </w:tc>
        <w:tc>
          <w:tcPr>
            <w:tcW w:type="dxa" w:w="3427"/>
          </w:tcPr>
          <w:p>
            <w:pPr>
              <w:spacing w:after="0"/>
            </w:pPr>
            <w:r>
              <w:rPr>
                <w:rFonts w:ascii="Aptos" w:hAnsi="Aptos"/>
                <w:b w:val="0"/>
                <w:sz w:val="16"/>
              </w:rPr>
              <w:t>0.30%</w:t>
            </w:r>
          </w:p>
        </w:tc>
        <w:tc>
          <w:tcPr>
            <w:tcW w:type="dxa" w:w="3427"/>
          </w:tcPr>
          <w:p>
            <w:pPr>
              <w:spacing w:after="0"/>
            </w:pPr>
            <w:r>
              <w:rPr>
                <w:rFonts w:ascii="Aptos" w:hAnsi="Aptos"/>
                <w:b w:val="0"/>
                <w:sz w:val="16"/>
              </w:rPr>
              <w:t>0.029</w:t>
            </w:r>
          </w:p>
        </w:tc>
      </w:tr>
    </w:tbl>
    <w:p>
      <w:pPr>
        <w:spacing w:after="80" w:line="245" w:lineRule="auto"/>
      </w:pPr>
      <w:r>
        <w:rPr>
          <w:rFonts w:ascii="Aptos" w:hAnsi="Aptos"/>
          <w:sz w:val="17"/>
        </w:rPr>
        <w:t>At 10 bps the hybrid’s absolute Sharpe falls below the zero-cost conventional Sharpe, but the like-for-like comparison remains favourable because conventional performance also deteriorates under the same cost assumption. At 25 bps most economic value disappears. The cost model remains stylised and does not separately model turnover generated purely by changes in final hybrid leverage.</w:t>
      </w:r>
    </w:p>
    <w:p>
      <w:pPr>
        <w:pStyle w:val="Heading1"/>
        <w:keepNext/>
        <w:spacing w:before="140" w:after="60"/>
      </w:pPr>
    </w:p>
    <w:p>
      <w:pPr>
        <w:spacing w:after="80" w:line="245" w:lineRule="auto"/>
      </w:pPr>
      <w:r>
        <w:rPr>
          <w:rFonts w:ascii="Aptos" w:hAnsi="Aptos"/>
          <w:sz w:val="17"/>
        </w:rPr>
        <w:t>The proposed 2005–2007 supplementary OOS test was recorded as NOT AVAILABLE because the frozen Book 04 OOS probability history does not extend sufficiently far backwards. No later model was refitted or backfilled to manufacture an earlier test period. The canonical 2008–2025 evaluation therefore remains intact.</w:t>
      </w:r>
    </w:p>
    <w:p>
      <w:pPr>
        <w:pStyle w:val="ListBullet"/>
        <w:spacing w:after="40" w:line="240" w:lineRule="auto"/>
      </w:pPr>
      <w:r>
        <w:rPr>
          <w:rFonts w:ascii="Aptos" w:hAnsi="Aptos"/>
          <w:sz w:val="17"/>
        </w:rPr>
        <w:t>Prototype P&amp;L series are not uniformly institutional total-return series.</w:t>
      </w:r>
    </w:p>
    <w:p>
      <w:pPr>
        <w:pStyle w:val="ListBullet"/>
        <w:spacing w:after="40" w:line="240" w:lineRule="auto"/>
      </w:pPr>
      <w:r>
        <w:rPr>
          <w:rFonts w:ascii="Aptos" w:hAnsi="Aptos"/>
          <w:sz w:val="17"/>
        </w:rPr>
        <w:t>Continuous futures still require explicit contract rolling, collateral returns and execution treatment; spot FX omits carry.</w:t>
      </w:r>
    </w:p>
    <w:p>
      <w:pPr>
        <w:pStyle w:val="ListBullet"/>
        <w:spacing w:after="40" w:line="240" w:lineRule="auto"/>
      </w:pPr>
      <w:r>
        <w:rPr>
          <w:rFonts w:ascii="Aptos" w:hAnsi="Aptos"/>
          <w:sz w:val="17"/>
        </w:rPr>
        <w:t>Transaction costs are stylised and instrument-independent.</w:t>
      </w:r>
    </w:p>
    <w:p>
      <w:pPr>
        <w:pStyle w:val="ListBullet"/>
        <w:spacing w:after="40" w:line="240" w:lineRule="auto"/>
      </w:pPr>
      <w:r>
        <w:rPr>
          <w:rFonts w:ascii="Aptos" w:hAnsi="Aptos"/>
          <w:sz w:val="17"/>
        </w:rPr>
        <w:t>The strongest observed transition alpha is concentrated in equity indices.</w:t>
      </w:r>
    </w:p>
    <w:p>
      <w:pPr>
        <w:pStyle w:val="ListBullet"/>
        <w:spacing w:after="40" w:line="240" w:lineRule="auto"/>
      </w:pPr>
      <w:r>
        <w:rPr>
          <w:rFonts w:ascii="Aptos" w:hAnsi="Aptos"/>
          <w:sz w:val="17"/>
        </w:rPr>
        <w:t>2008–2025 is expanding historical pseudo-OOS, not a genuinely prospective post-freeze holdout.</w:t>
      </w:r>
    </w:p>
    <w:p>
      <w:pPr>
        <w:pStyle w:val="ListBullet"/>
        <w:spacing w:after="40" w:line="240" w:lineRule="auto"/>
      </w:pPr>
      <w:r>
        <w:rPr>
          <w:rFonts w:ascii="Aptos" w:hAnsi="Aptos"/>
          <w:sz w:val="17"/>
        </w:rPr>
        <w:t>The implemented state machine does not yet dynamically update candidate probability after the candidate date; invalidation is primarily confirmation, expiry or supersession.</w:t>
      </w:r>
    </w:p>
    <w:p>
      <w:pPr>
        <w:pStyle w:val="Heading1"/>
        <w:keepNext/>
        <w:spacing w:before="140" w:after="60"/>
      </w:pPr>
    </w:p>
    <w:p>
      <w:pPr>
        <w:spacing w:after="80" w:line="245" w:lineRule="auto"/>
      </w:pPr>
      <w:r>
        <w:rPr>
          <w:rFonts w:ascii="Aptos" w:hAnsi="Aptos"/>
          <w:sz w:val="17"/>
        </w:rPr>
        <w:t>The complete evidence supports the central V2 hypothesis: a systematic anticipatory transition model can recover part of the return sacrificed by conventional trend confirmation without giving the benefit back through excessive false reversals, provided that transition evidence is sufficiently strong, entry is delayed until the transition has developed, and exposure is accumulated progressively.</w:t>
      </w:r>
    </w:p>
    <w:p>
      <w:pPr>
        <w:spacing w:before="160" w:after="160"/>
        <w:jc w:val="center"/>
      </w:pPr>
      <w:r>
        <w:rPr>
          <w:rFonts w:ascii="Aptos Display" w:hAnsi="Aptos Display"/>
          <w:b/>
          <w:sz w:val="26"/>
        </w:rPr>
        <w:t>PASS — V2 RESEARCH SPECIFICATION FROZEN</w:t>
      </w:r>
    </w:p>
    <w:p>
      <w:pPr>
        <w:spacing w:after="80" w:line="245" w:lineRule="auto"/>
      </w:pPr>
      <w:r>
        <w:rPr>
          <w:rFonts w:ascii="Aptos" w:hAnsi="Aptos"/>
          <w:sz w:val="17"/>
        </w:rPr>
        <w:t>The final architecture should be interpreted as Conventional Trend Following + Conditional Anticipatory Transition Alpha. This is a research freeze rather than production-trading certification. No new predictive features, model families or post-hoc parameter optimization should be introduced into V2.</w:t>
      </w:r>
    </w:p>
    <w:p>
      <w:pPr>
        <w:pStyle w:val="Heading1"/>
        <w:keepNext/>
        <w:spacing w:before="140" w:after="60"/>
      </w:pPr>
    </w:p>
    <w:p>
      <w:pPr>
        <w:spacing w:after="80" w:line="245" w:lineRule="auto"/>
      </w:pPr>
      <w:r>
        <w:rPr>
          <w:rFonts w:ascii="Aptos" w:hAnsi="Aptos"/>
          <w:sz w:val="17"/>
        </w:rPr>
        <w:t>Future extensions should be benchmarked against frozen V2 in a separately versioned V2.1 Alternative Transition Modelling programme. Pre-specified challengers include Markov-switching regression, survival/hazard modelling, gradient boosting, changepoint detection and alternative bearish-transition sizing. V2.1 should test whether these methods improve incremental OOS economic value rather than reopening the frozen V2 specification.</w:t>
      </w:r>
    </w:p>
    <w:p>
      <w:pPr>
        <w:pStyle w:val="Heading1"/>
      </w:pPr>
      <w:r>
        <w:rPr>
          <w:b w:val="0"/>
        </w:rPr>
        <w:t>11. Early-Transition Indicators: What Actually Worked</w:t>
      </w:r>
    </w:p>
    <w:p>
      <w:r>
        <w:rPr>
          <w:b w:val="0"/>
        </w:rPr>
        <w:t>V2 found that the strongest early-transition information was not a single reversal indicator. The surviving predictive structure combined conventional trend-transition geometry with SuperbCommand state information. The useful signal was therefore evidence that the incumbent trend was becoming structurally vulnerable while an opposite trend was beginning to establish itself.</w:t>
      </w:r>
    </w:p>
    <w:p>
      <w:pPr>
        <w:pStyle w:val="ListBullet"/>
      </w:pPr>
      <w:r>
        <w:rPr>
          <w:b/>
        </w:rPr>
        <w:t xml:space="preserve">Distance to conventional confirmation: </w:t>
      </w:r>
      <w:r>
        <w:t>Central feature family measuring how close the incumbent trend was to flipping under the slow TSMOM, 100/300 moving-average and 252-observation breakout rules, including evolving confirmation boundaries.</w:t>
      </w:r>
    </w:p>
    <w:p>
      <w:pPr>
        <w:pStyle w:val="ListBullet"/>
      </w:pPr>
      <w:r>
        <w:rPr>
          <w:b/>
        </w:rPr>
        <w:t xml:space="preserve">Multi-horizon momentum and trend deterioration: </w:t>
      </w:r>
      <w:r>
        <w:t>Momentum, slopes, incumbent directional move and drawdown/recovery geometry helped identify weakening of the established trend rather than merely a short-lived counter-trend bounce.</w:t>
      </w:r>
    </w:p>
    <w:p>
      <w:pPr>
        <w:pStyle w:val="ListBullet"/>
      </w:pPr>
      <w:r>
        <w:rPr>
          <w:b/>
        </w:rPr>
        <w:t xml:space="preserve">Trend age / maturation geometry: </w:t>
      </w:r>
      <w:r>
        <w:t>The age and development of the incumbent move helped distinguish an ordinary correction from a mature trend becoming vulnerable; maturation was conditioning information, not a standalone reversal signal.</w:t>
      </w:r>
    </w:p>
    <w:p>
      <w:pPr>
        <w:pStyle w:val="ListBullet"/>
      </w:pPr>
      <w:r>
        <w:rPr>
          <w:b/>
        </w:rPr>
        <w:t xml:space="preserve">SuperbCommand Early Reversal: </w:t>
      </w:r>
      <w:r>
        <w:t>One of the clearest individual SC diagnostics: present in approximately 25.1% of genuine transitions versus 15.7% of failed transitions.</w:t>
      </w:r>
    </w:p>
    <w:p>
      <w:pPr>
        <w:pStyle w:val="ListBullet"/>
      </w:pPr>
      <w:r>
        <w:rPr>
          <w:b/>
        </w:rPr>
        <w:t xml:space="preserve">Broader SuperbCommand alignment/state geometry: </w:t>
      </w:r>
      <w:r>
        <w:t>Genuine transitions averaged approximately 3.36/5 alignment versus 2.81/5 for failed transitions. The difference was particularly clear in commodities (3.49 vs 2.79) and equity indices (3.46 vs 2.81).</w:t>
      </w:r>
    </w:p>
    <w:p>
      <w:pPr>
        <w:pStyle w:val="ListBullet"/>
      </w:pPr>
      <w:r>
        <w:rPr>
          <w:b/>
        </w:rPr>
        <w:t xml:space="preserve">Adaptive SuperTrend alignment: </w:t>
      </w:r>
      <w:r>
        <w:t>Alignment was approximately 64.7% vs 49.5% for genuine versus failed commodity transitions and 61.7% vs 48.9% for equity indices, supporting the interpretation that the successor direction was beginning to establish before slow conventional confirmation.</w:t>
      </w:r>
    </w:p>
    <w:p>
      <w:r>
        <w:rPr>
          <w:b w:val="0"/>
        </w:rPr>
        <w:t>Incremental testing confirmed that conventional geometry was indispensable and SuperbCommand added useful nonlinear information. The addition of SC was especially valuable for bull-to-bear transitions (RF AUC approximately 0.699 to 0.732) and improved results across commodities (0.731 to 0.768), indices (0.739 to 0.762), bonds/rates (0.699 to 0.718) and FX (0.716 to 0.726).</w:t>
      </w:r>
    </w:p>
    <w:p>
      <w:r>
        <w:rPr>
          <w:b w:val="0"/>
        </w:rPr>
        <w:t>What did not survive as separate production blocks: MACD crossover-anchor divergence, explicit volatility features and standalone SuperbCommand divergence. HMM state migration was descriptively real but reduced incremental OOS predictive performance. The frozen classifier therefore remained RF_unweighted_C_plus_SC_no_MACD.</w:t>
      </w:r>
    </w:p>
    <w:p>
      <w:pPr>
        <w:pStyle w:val="Heading1"/>
      </w:pPr>
      <w:r>
        <w:rPr>
          <w:b w:val="0"/>
        </w:rPr>
        <w:t>12. Practical Portfolio Implementation</w:t>
      </w:r>
    </w:p>
    <w:p>
      <w:r>
        <w:rPr>
          <w:b w:val="0"/>
        </w:rPr>
        <w:t>In practical terms, frozen V2 is a weekly long/short multi-asset CTA with two independent risk sleeves: a slow conventional trend-following core and a sparse anticipatory transition sleeve.</w:t>
      </w:r>
    </w:p>
    <w:p>
      <w:pPr>
        <w:pStyle w:val="ListBullet"/>
      </w:pPr>
      <w:r>
        <w:rPr>
          <w:b/>
        </w:rPr>
        <w:t xml:space="preserve">Conventional sleeve: </w:t>
      </w:r>
      <w:r>
        <w:t>The slow 2-of-3 ensemble of 252-observation TSMOM, 100/300 moving-average trend and 252-observation breakout/channel trend owns established trends.</w:t>
      </w:r>
    </w:p>
    <w:p>
      <w:pPr>
        <w:pStyle w:val="ListBullet"/>
      </w:pPr>
      <w:r>
        <w:rPr>
          <w:b/>
        </w:rPr>
        <w:t xml:space="preserve">Candidate selection: </w:t>
      </w:r>
      <w:r>
        <w:t>For an eligible transition event, the frozen Book 04 random forest estimates P(genuine transition | candidate-time information). The event must exceed the fully causal expanding historical 80th-percentile probability threshold.</w:t>
      </w:r>
    </w:p>
    <w:p>
      <w:pPr>
        <w:pStyle w:val="ListBullet"/>
      </w:pPr>
      <w:r>
        <w:rPr>
          <w:b/>
        </w:rPr>
        <w:t xml:space="preserve">Timing: </w:t>
      </w:r>
      <w:r>
        <w:t>The strategy waits 21 market observations after candidate formation. Book 06 showed essentially no immediate five-observation advantage and materially stronger economic differentiation from around the 21-observation horizon.</w:t>
      </w:r>
    </w:p>
    <w:p>
      <w:pPr>
        <w:pStyle w:val="ListBullet"/>
      </w:pPr>
      <w:r>
        <w:rPr>
          <w:b/>
        </w:rPr>
        <w:t xml:space="preserve">Accumulation: </w:t>
      </w:r>
      <w:r>
        <w:t>After the delay, the transition signal ramps progressively over 42 observations toward a maximum signal of 0.50. Bear-to-bull candidates receive a 1.0 directional multiplier; bull-to-bear candidates receive the frozen conservative 0.5 multiplier.</w:t>
      </w:r>
    </w:p>
    <w:p>
      <w:pPr>
        <w:pStyle w:val="ListBullet"/>
      </w:pPr>
      <w:r>
        <w:rPr>
          <w:b/>
        </w:rPr>
        <w:t xml:space="preserve">Termination / hand-off: </w:t>
      </w:r>
      <w:r>
        <w:t>If conventional trend confirms the successor direction, the transition sleeve has completed its anticipatory role and conventional trend owns the new established trend. Candidates otherwise expire after 126 observations or can be superseded by a newer event.</w:t>
      </w:r>
    </w:p>
    <w:p>
      <w:pPr>
        <w:pStyle w:val="ListBullet"/>
      </w:pPr>
      <w:r>
        <w:rPr>
          <w:b/>
        </w:rPr>
        <w:t xml:space="preserve">Independent risk books: </w:t>
      </w:r>
      <w:r>
        <w:t>Conventional and transition market positions are constructed and risk-scaled independently; the transition sleeve is not simply netted against the conventional sleeve and the whole market book renormalised.</w:t>
      </w:r>
    </w:p>
    <w:p>
      <w:pPr>
        <w:pStyle w:val="ListBullet"/>
      </w:pPr>
      <w:r>
        <w:rPr>
          <w:b/>
        </w:rPr>
        <w:t xml:space="preserve">Portfolio combination: </w:t>
      </w:r>
      <w:r>
        <w:t>The two sleeve return streams are combined at 75% conventional / 25% transition, so the transition risk budget is one-third the size of the conventional sleeve, followed by final portfolio volatility targeting.</w:t>
      </w:r>
    </w:p>
    <w:p>
      <w:pPr>
        <w:pStyle w:val="ListBullet"/>
      </w:pPr>
      <w:r>
        <w:rPr>
          <w:b/>
        </w:rPr>
        <w:t xml:space="preserve">Execution frequency: </w:t>
      </w:r>
      <w:r>
        <w:t>Weekly Friday decision frequency with positions lagged one decision period; the frozen framework uses approximately 10% volatility targets and the established V2 lookbacks/caps.</w:t>
      </w:r>
    </w:p>
    <w:p>
      <w:r>
        <w:rPr>
          <w:b w:val="0"/>
        </w:rPr>
        <w:t>Important implementation caveat: V2 did not separately isolate practical portfolio-level DCA toward the 25% transition risk budget. The 42-observation ramp is a signal/exposure-confidence ramp. Testing immediate targeting versus fixed-step DCA, partial adjustment and evidence-adaptive DCA is therefore an explicit V3 research question.</w:t>
      </w:r>
    </w:p>
    <w:p/>
    <w:sectPr w:rsidR="00FC693F" w:rsidRPr="0006063C" w:rsidSect="00034616">
      <w:footerReference w:type="default" r:id="rId9"/>
      <w:pgSz w:w="12240" w:h="15840"/>
      <w:pgMar w:top="648" w:right="979" w:bottom="648"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4"/>
      </w:rPr>
      <w:t>Multi-Asset CTA Strategy V2 — Transition Strategy | Research Outcomes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