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sz w:val="40"/>
        </w:rPr>
        <w:t>Multi-Asset CTA Strategy V2 – Transition Strategy Handbook</w:t>
      </w:r>
    </w:p>
    <w:p>
      <w:pPr>
        <w:jc w:val="center"/>
      </w:pPr>
      <w:r>
        <w:rPr>
          <w:rFonts w:ascii="Aptos" w:hAnsi="Aptos"/>
          <w:i/>
          <w:sz w:val="18"/>
        </w:rPr>
        <w:t>Systematic Cross-Asset Trend-Transition Research &amp; Portfolio Construction Framework</w:t>
        <w:br/>
        <w:t>Final Research-Design Update: September 2026 | Research specification: FROZEN</w:t>
      </w:r>
    </w:p>
    <w:p>
      <w:pPr>
        <w:pStyle w:val="Heading1"/>
        <w:keepNext/>
        <w:spacing w:before="140" w:after="60"/>
      </w:pPr>
    </w:p>
    <w:p>
      <w:pPr>
        <w:spacing w:after="80" w:line="245" w:lineRule="auto"/>
      </w:pPr>
      <w:r>
        <w:rPr>
          <w:rFonts w:ascii="Aptos" w:hAnsi="Aptos"/>
          <w:sz w:val="17"/>
        </w:rPr>
        <w:t>Multi-Asset CTA Strategy V2 is a systematic, price-driven, cross-asset research project focused specifically on trend transitions. V2 is not intended to replace conventional trend following or to construct the entire optimal multi-strategy CTA. Its purpose is narrower: determine whether a dedicated transition sleeve can identify deterioration in an established trend and begin positioning for the successor trend before conventional medium- and long-horizon trend models confirm the change.</w:t>
      </w:r>
    </w:p>
    <w:p>
      <w:pPr>
        <w:spacing w:after="80" w:line="245" w:lineRule="auto"/>
      </w:pPr>
      <w:r>
        <w:rPr>
          <w:rFonts w:ascii="Aptos" w:hAnsi="Aptos"/>
          <w:sz w:val="17"/>
        </w:rPr>
        <w:t>The strategy is best understood as a sub-strategy within a broader future CTA architecture. The final V2 research specification is frozen; this handbook documents the methodology and design rather than the empirical results, which are maintained separately in “v2 - Research Outcomes”.</w:t>
      </w:r>
    </w:p>
    <w:p>
      <w:pPr>
        <w:pStyle w:val="Heading1"/>
        <w:keepNext/>
        <w:spacing w:before="140" w:after="60"/>
      </w:pPr>
    </w:p>
    <w:p>
      <w:pPr>
        <w:spacing w:after="80" w:line="245" w:lineRule="auto"/>
      </w:pPr>
      <w:r>
        <w:rPr>
          <w:rFonts w:ascii="Aptos" w:hAnsi="Aptos"/>
          <w:sz w:val="17"/>
        </w:rPr>
        <w:t>Can price-derived transition information recover part of the return sacrificed by conventional trend confirmation without giving the benefit back through false reversals, whipsaw, turnover and transaction costs?</w:t>
      </w:r>
    </w:p>
    <w:p>
      <w:pPr>
        <w:spacing w:after="80" w:line="245" w:lineRule="auto"/>
      </w:pPr>
      <w:r>
        <w:rPr>
          <w:rFonts w:ascii="Aptos" w:hAnsi="Aptos"/>
          <w:sz w:val="17"/>
        </w:rPr>
        <w:t>The deeper formulation is: can the expected payoff from trend continuation be distinguished from the expected payoff from a developing counter-trend transition before conventional trend-following models confirm the new direction?</w:t>
      </w:r>
    </w:p>
    <w:p>
      <w:pPr>
        <w:pStyle w:val="Heading1"/>
        <w:keepNext/>
        <w:spacing w:before="140" w:after="60"/>
      </w:pPr>
    </w:p>
    <w:p>
      <w:pPr>
        <w:spacing w:after="80" w:line="245" w:lineRule="auto"/>
      </w:pPr>
      <w:r>
        <w:rPr>
          <w:rFonts w:ascii="Aptos" w:hAnsi="Aptos"/>
          <w:sz w:val="17"/>
        </w:rPr>
        <w:t>V2 is a conditional anticipatory trend-transition strategy. It may behave contrarian relative to the incumbent trend, but it is not a generic mean-reversion strategy. The destination of a successful V2 trade is the next persistent trend.</w:t>
      </w:r>
    </w:p>
    <w:p>
      <w:pPr>
        <w:spacing w:after="80" w:line="245" w:lineRule="auto"/>
      </w:pPr>
      <w:r>
        <w:rPr>
          <w:rFonts w:ascii="Aptos" w:hAnsi="Aptos"/>
          <w:sz w:val="17"/>
        </w:rPr>
        <w:t>Established Trend → Maturation → Transition → Confirmation → New Established Trend</w:t>
      </w:r>
    </w:p>
    <w:p>
      <w:pPr>
        <w:spacing w:after="80" w:line="245" w:lineRule="auto"/>
      </w:pPr>
      <w:r>
        <w:rPr>
          <w:rFonts w:ascii="Aptos" w:hAnsi="Aptos"/>
          <w:sz w:val="17"/>
        </w:rPr>
        <w:t>Conventional Trend = Persistence   |   V2 = Transition</w:t>
      </w:r>
    </w:p>
    <w:p>
      <w:pPr>
        <w:pStyle w:val="Heading1"/>
        <w:keepNext/>
        <w:spacing w:before="140" w:after="60"/>
      </w:pPr>
    </w:p>
    <w:p>
      <w:pPr>
        <w:spacing w:after="80" w:line="245" w:lineRule="auto"/>
      </w:pPr>
      <w:r>
        <w:rPr>
          <w:rFonts w:ascii="Aptos" w:hAnsi="Aptos"/>
          <w:sz w:val="17"/>
        </w:rPr>
        <w:t>Traditional trend-following models deliberately wait for evidence that a trend exists. This confirmation requirement is robust during persistent moves but creates a structural cost at inflection points. V2 asks whether some of this confirmation cost can be recovered systematically without assuming that every mature trend should reverse or that exact tops and bottoms can be predicted.</w:t>
      </w:r>
    </w:p>
    <w:p>
      <w:pPr>
        <w:spacing w:after="80" w:line="245" w:lineRule="auto"/>
      </w:pPr>
      <w:r>
        <w:rPr>
          <w:rFonts w:ascii="Aptos" w:hAnsi="Aptos"/>
          <w:sz w:val="17"/>
        </w:rPr>
        <w:t>Working philosophy: Trend Following + Conditional Contrarianism.</w:t>
      </w:r>
    </w:p>
    <w:p>
      <w:pPr>
        <w:pStyle w:val="Heading1"/>
        <w:keepNext/>
        <w:spacing w:before="140" w:after="60"/>
      </w:pPr>
    </w:p>
    <w:p>
      <w:pPr>
        <w:spacing w:after="80" w:line="245" w:lineRule="auto"/>
      </w:pPr>
      <w:r>
        <w:rPr>
          <w:rFonts w:ascii="Aptos" w:hAnsi="Aptos"/>
          <w:sz w:val="17"/>
        </w:rPr>
        <w:t>The final prototype research universe contains 53 usable markets spanning equity indices and equity-market state series, commodities, FX, bonds/rates and one digital asset (BTC-USD). Bitcoin is formally admitted from 2017-01-01; earlier BTC history may be retained solely for indicator warm-up.</w:t>
      </w:r>
    </w:p>
    <w:p>
      <w:pPr>
        <w:spacing w:after="80" w:line="245" w:lineRule="auto"/>
      </w:pPr>
      <w:r>
        <w:rPr>
          <w:rFonts w:ascii="Aptos" w:hAnsi="Aptos"/>
          <w:sz w:val="17"/>
        </w:rPr>
        <w:t>Signal Series ≠ P&amp;L Series where economically necessary. Signal histories are used for TSMOM, moving-average, breakout, SuperbCommand and related state features; P&amp;L histories represent the economic return stream used for implementation testing. Equity price indices may omit dividends, spot FX omits carry, continuous futures require explicit roll/collateral treatment, and bond yields are not interchangeable with bond-price returns.</w:t>
      </w:r>
    </w:p>
    <w:p>
      <w:pPr>
        <w:spacing w:after="80" w:line="245" w:lineRule="auto"/>
      </w:pPr>
      <w:r>
        <w:rPr>
          <w:rFonts w:ascii="Aptos" w:hAnsi="Aptos"/>
          <w:sz w:val="17"/>
        </w:rPr>
        <w:t>The prototype architecture is intentionally suitable for rapid research. A production implementation requires institutional continuous signal series and actual rolled tradable contracts.</w:t>
      </w:r>
    </w:p>
    <w:p>
      <w:pPr>
        <w:pStyle w:val="Heading1"/>
        <w:keepNext/>
        <w:spacing w:before="140" w:after="60"/>
      </w:pPr>
    </w:p>
    <w:p>
      <w:pPr>
        <w:spacing w:after="80" w:line="245" w:lineRule="auto"/>
      </w:pPr>
      <w:r>
        <w:rPr>
          <w:rFonts w:ascii="Aptos" w:hAnsi="Aptos"/>
          <w:sz w:val="17"/>
        </w:rPr>
        <w:t>Primary research environment: Python / Google Colab. Project directory: My Drive/Colab Notebooks/SuperbCommand/Multi-Asset CTA Strategy v2/.</w:t>
      </w:r>
    </w:p>
    <w:p>
      <w:pPr>
        <w:spacing w:after="80" w:line="245" w:lineRule="auto"/>
      </w:pPr>
      <w:r>
        <w:rPr>
          <w:rFonts w:ascii="Aptos" w:hAnsi="Aptos"/>
          <w:sz w:val="17"/>
        </w:rPr>
        <w:t>The completed research chain is organised into eight books: Data → Events → Features → Prediction → Falsification → Economic Validation → Portfolio → Final Falsification.</w:t>
      </w:r>
    </w:p>
    <w:p>
      <w:pPr>
        <w:pStyle w:val="Heading1"/>
        <w:keepNext/>
        <w:spacing w:before="140" w:after="60"/>
      </w:pPr>
    </w:p>
    <w:p>
      <w:pPr>
        <w:spacing w:after="80" w:line="245" w:lineRule="auto"/>
      </w:pPr>
      <w:r>
        <w:rPr>
          <w:rFonts w:ascii="Aptos" w:hAnsi="Aptos"/>
          <w:sz w:val="17"/>
        </w:rPr>
        <w:t>The conceptual state machine distinguishes Established Trend, Maturation, Transition, Confirmation and Invalidation. These states must not be collapsed into a single binary indicator. Maturation activates monitoring; transition permits controlled anticipatory exposure; confirmation hands the position to the conventional trend sleeve; invalidation terminates the transition hypothesis.</w:t>
      </w:r>
    </w:p>
    <w:p>
      <w:pPr>
        <w:pStyle w:val="Heading1"/>
        <w:keepNext/>
        <w:spacing w:before="140" w:after="60"/>
      </w:pPr>
    </w:p>
    <w:p>
      <w:pPr>
        <w:spacing w:after="80" w:line="245" w:lineRule="auto"/>
      </w:pPr>
      <w:r>
        <w:rPr>
          <w:rFonts w:ascii="Aptos" w:hAnsi="Aptos"/>
          <w:sz w:val="17"/>
        </w:rPr>
        <w:t>Established trend is defined by the conventional framework V2 attempts to anticipate, not by SuperbCommand. The frozen slow benchmark combines 252-observation TSMOM, 100/300 moving-average trend and a 252-observation breakout/channel measure using a two-of-three majority ensemble.</w:t>
      </w:r>
    </w:p>
    <w:p>
      <w:pPr>
        <w:spacing w:after="80" w:line="245" w:lineRule="auto"/>
      </w:pPr>
      <w:r>
        <w:rPr>
          <w:rFonts w:ascii="Aptos" w:hAnsi="Aptos"/>
          <w:sz w:val="17"/>
        </w:rPr>
        <w:t>Faster controls—63-observation TSMOM, 20/100 moving averages and 63-observation breakout—remain important falsification benchmarks for the proposition that transition alpha is more than merely faster trend following.</w:t>
      </w:r>
    </w:p>
    <w:p>
      <w:pPr>
        <w:pStyle w:val="Heading1"/>
        <w:keepNext/>
        <w:spacing w:before="140" w:after="60"/>
      </w:pPr>
    </w:p>
    <w:p>
      <w:pPr>
        <w:spacing w:after="80" w:line="245" w:lineRule="auto"/>
      </w:pPr>
      <w:r>
        <w:rPr>
          <w:rFonts w:ascii="Aptos" w:hAnsi="Aptos"/>
          <w:sz w:val="17"/>
        </w:rPr>
        <w:t>A genuine transition is an incumbent established trend that ultimately gives way to a conventionally confirmed opposite trend. A failed transition is apparent deterioration/reversal that resolves into continuation without durable opposite confirmation.</w:t>
      </w:r>
    </w:p>
    <w:p>
      <w:pPr>
        <w:spacing w:after="80" w:line="245" w:lineRule="auto"/>
      </w:pPr>
      <w:r>
        <w:rPr>
          <w:rFonts w:ascii="Aptos" w:hAnsi="Aptos"/>
          <w:sz w:val="17"/>
        </w:rPr>
        <w:t>Future information may be used only for retrospective target labels. Every predictor at candidate time must be restricted to information genuinely available at that time. All rolling windows, persistence rules, horizons and cooldowns are calculated on each market’s own observation calendar.</w:t>
      </w:r>
    </w:p>
    <w:p>
      <w:pPr>
        <w:pStyle w:val="Heading1"/>
        <w:keepNext/>
        <w:spacing w:before="140" w:after="60"/>
      </w:pPr>
    </w:p>
    <w:p>
      <w:pPr>
        <w:spacing w:after="80" w:line="245" w:lineRule="auto"/>
      </w:pPr>
      <w:r>
        <w:rPr>
          <w:rFonts w:ascii="Aptos" w:hAnsi="Aptos"/>
          <w:sz w:val="17"/>
        </w:rPr>
        <w:t>Candidate information includes trend age, incumbent move, drawdown/recovery, multi-horizon momentum, distance to conventional confirmation, price/time evolution of conventional decision boundaries, volatility measures and SuperbCommand primitives.</w:t>
      </w:r>
    </w:p>
    <w:p>
      <w:pPr>
        <w:spacing w:after="80" w:line="245" w:lineRule="auto"/>
      </w:pPr>
      <w:r>
        <w:rPr>
          <w:rFonts w:ascii="Aptos" w:hAnsi="Aptos"/>
          <w:sz w:val="17"/>
        </w:rPr>
        <w:t>The key live-time object is P(genuine transition | information available at candidate time). The objective is not exact turning-point prediction but identification of a developing transition early enough to improve the continuation-versus-transition trade-off.</w:t>
      </w:r>
    </w:p>
    <w:p>
      <w:pPr>
        <w:pStyle w:val="Heading1"/>
        <w:keepNext/>
        <w:spacing w:before="140" w:after="60"/>
      </w:pPr>
    </w:p>
    <w:p>
      <w:pPr>
        <w:spacing w:after="80" w:line="245" w:lineRule="auto"/>
      </w:pPr>
      <w:r>
        <w:rPr>
          <w:rFonts w:ascii="Aptos" w:hAnsi="Aptos"/>
          <w:sz w:val="17"/>
        </w:rPr>
        <w:t>SuperbCommand is not the conventional trend backbone. Its role is to test whether oscillator/signal geometry, slopes, early-reversal behaviour, adaptive SuperTrend state and related price-derived primitives add information beyond conventional transition geometry.</w:t>
      </w:r>
    </w:p>
    <w:p>
      <w:pPr>
        <w:spacing w:after="80" w:line="245" w:lineRule="auto"/>
      </w:pPr>
      <w:r>
        <w:rPr>
          <w:rFonts w:ascii="Aptos" w:hAnsi="Aptos"/>
          <w:sz w:val="17"/>
        </w:rPr>
        <w:t>Raw primitives are preferred to blindly reproducing a discretionary policy. Any apparent benefit must survive comparison with faster conventional trend and simpler feature sets.</w:t>
      </w:r>
    </w:p>
    <w:p>
      <w:pPr>
        <w:pStyle w:val="Heading1"/>
        <w:keepNext/>
        <w:spacing w:before="140" w:after="60"/>
      </w:pPr>
    </w:p>
    <w:p>
      <w:pPr>
        <w:spacing w:after="80" w:line="245" w:lineRule="auto"/>
      </w:pPr>
      <w:r>
        <w:rPr>
          <w:rFonts w:ascii="Aptos" w:hAnsi="Aptos"/>
          <w:sz w:val="17"/>
        </w:rPr>
        <w:t>Volatility remains price-derived in V2, principally through ATR/realised-volatility information. Its role is conditional rather than universally directional. Explicit volatility feature blocks must earn incremental out-of-sample value rather than being included because regime narratives are intuitively appealing.</w:t>
      </w:r>
    </w:p>
    <w:p>
      <w:pPr>
        <w:spacing w:after="80" w:line="245" w:lineRule="auto"/>
      </w:pPr>
      <w:r>
        <w:rPr>
          <w:rFonts w:ascii="Aptos" w:hAnsi="Aptos"/>
          <w:sz w:val="17"/>
        </w:rPr>
        <w:t>Divergence is treated as a candidate early-reversal feature family. MACD crossover anchors and SuperbCommand divergence can be studied without arbitrary extrema, but divergence is not assumed to be a core source of alpha.</w:t>
      </w:r>
    </w:p>
    <w:p>
      <w:pPr>
        <w:pStyle w:val="Heading1"/>
        <w:keepNext/>
        <w:spacing w:before="140" w:after="60"/>
      </w:pPr>
    </w:p>
    <w:p>
      <w:pPr>
        <w:spacing w:after="80" w:line="245" w:lineRule="auto"/>
      </w:pPr>
      <w:r>
        <w:rPr>
          <w:rFonts w:ascii="Aptos" w:hAnsi="Aptos"/>
          <w:sz w:val="17"/>
        </w:rPr>
        <w:t>Hidden Markov Models were included as a formal falsification branch because V2 concerns latent market states and transitions. The correct methodology uses continuous market-time sequences, separate market boundaries, causal forward filtering and training-only state interpretation.</w:t>
      </w:r>
    </w:p>
    <w:p>
      <w:pPr>
        <w:spacing w:after="80" w:line="245" w:lineRule="auto"/>
      </w:pPr>
      <w:r>
        <w:rPr>
          <w:rFonts w:ascii="Aptos" w:hAnsi="Aptos"/>
          <w:sz w:val="17"/>
        </w:rPr>
        <w:t>Latent-state complexity is not part of the frozen production research architecture unless it adds incremental OOS information beyond the transparent transition model. Alternative regime methods such as Markov-switching regression belong to a separately versioned V2.1 study rather than post-freeze V2 modification.</w:t>
      </w:r>
    </w:p>
    <w:p>
      <w:pPr>
        <w:pStyle w:val="Heading1"/>
        <w:keepNext/>
        <w:spacing w:before="140" w:after="60"/>
      </w:pPr>
    </w:p>
    <w:p>
      <w:pPr>
        <w:spacing w:after="80" w:line="245" w:lineRule="auto"/>
      </w:pPr>
      <w:r>
        <w:rPr>
          <w:rFonts w:ascii="Aptos" w:hAnsi="Aptos"/>
          <w:sz w:val="17"/>
        </w:rPr>
        <w:t>The predictive ladder proceeds from base rate to conventional geometry, then tests MACD/divergence, SuperbCommand, explicit volatility and latent-state information incrementally. Logistic regression provides a transparent linear benchmark; Random Forest provides the principal nonlinear supervised benchmark.</w:t>
      </w:r>
    </w:p>
    <w:p>
      <w:pPr>
        <w:spacing w:after="80" w:line="245" w:lineRule="auto"/>
      </w:pPr>
      <w:r>
        <w:rPr>
          <w:rFonts w:ascii="Aptos" w:hAnsi="Aptos"/>
          <w:sz w:val="17"/>
        </w:rPr>
        <w:t>Model selection uses expanding annual OOS folds beginning in 2008. Balanced models are useful for ranking/discrimination; unweighted models are required for probability interpretation and calibration.</w:t>
      </w:r>
    </w:p>
    <w:p>
      <w:pPr>
        <w:pStyle w:val="Heading1"/>
        <w:keepNext/>
        <w:spacing w:before="140" w:after="60"/>
      </w:pPr>
    </w:p>
    <w:p>
      <w:pPr>
        <w:spacing w:after="80" w:line="245" w:lineRule="auto"/>
      </w:pPr>
      <w:r>
        <w:rPr>
          <w:rFonts w:ascii="Aptos" w:hAnsi="Aptos"/>
          <w:sz w:val="17"/>
        </w:rPr>
        <w:t>The broad historical research period begins around 2000 where coverage permits, with earlier observations used for indicator warm-up. The canonical expanding pseudo-OOS evaluation period is 2008–2025.</w:t>
      </w:r>
    </w:p>
    <w:p>
      <w:pPr>
        <w:spacing w:after="80" w:line="245" w:lineRule="auto"/>
      </w:pPr>
      <w:r>
        <w:rPr>
          <w:rFonts w:ascii="Aptos" w:hAnsi="Aptos"/>
          <w:sz w:val="17"/>
        </w:rPr>
        <w:t>The 2008 start is not an eight-year indicator warm-up and was not selected because of the Global Financial Crisis. 2000–2007 supplies the initial model-estimation/event history required for a sparse transition-classification problem. The first fold is train through 2007 → test 2008, then the training window expands annually through 2025.</w:t>
      </w:r>
    </w:p>
    <w:p>
      <w:pPr>
        <w:spacing w:after="80" w:line="245" w:lineRule="auto"/>
      </w:pPr>
      <w:r>
        <w:rPr>
          <w:rFonts w:ascii="Aptos" w:hAnsi="Aptos"/>
          <w:sz w:val="17"/>
        </w:rPr>
        <w:t>Because the project itself was designed in 2026, 2008–2025 is historical pseudo-OOS rather than a pristine prospective holdout. A genuinely prospective holdout begins only after the final V2 specification is frozen.</w:t>
      </w:r>
    </w:p>
    <w:p>
      <w:pPr>
        <w:pStyle w:val="Heading1"/>
        <w:keepNext/>
        <w:spacing w:before="140" w:after="60"/>
      </w:pPr>
    </w:p>
    <w:p>
      <w:pPr>
        <w:spacing w:after="80" w:line="245" w:lineRule="auto"/>
      </w:pPr>
      <w:r>
        <w:rPr>
          <w:rFonts w:ascii="Aptos" w:hAnsi="Aptos"/>
          <w:sz w:val="17"/>
        </w:rPr>
        <w:t>Classification performance is insufficient by itself. Frozen candidate-time probabilities must be mapped to subsequent candidate-direction returns over multiple horizons, probability buckets, directions, asset classes and years. Economic validation is performed before portfolio construction so that sizing rules are not designed from classification metrics alone.</w:t>
      </w:r>
    </w:p>
    <w:p>
      <w:pPr>
        <w:spacing w:after="80" w:line="245" w:lineRule="auto"/>
      </w:pPr>
      <w:r>
        <w:rPr>
          <w:rFonts w:ascii="Aptos" w:hAnsi="Aptos"/>
          <w:sz w:val="17"/>
        </w:rPr>
        <w:t>Year-cluster bootstrap and monotonicity tests are used to distinguish persistent economic information from a small number of celebrated reversals.</w:t>
      </w:r>
    </w:p>
    <w:p>
      <w:pPr>
        <w:pStyle w:val="Heading1"/>
        <w:keepNext/>
        <w:spacing w:before="140" w:after="60"/>
      </w:pPr>
    </w:p>
    <w:p>
      <w:pPr>
        <w:spacing w:after="80" w:line="245" w:lineRule="auto"/>
      </w:pPr>
      <w:r>
        <w:rPr>
          <w:rFonts w:ascii="Aptos" w:hAnsi="Aptos"/>
          <w:sz w:val="17"/>
        </w:rPr>
        <w:t>The final portfolio research specification uses a fully causal expanding historical 80th-percentile probability threshold, a 21-observation delay, a 42-observation progressive ramp, maximum absolute transition signal of 0.50, full bear→bull transition exposure and a 0.50 multiplier for bull→bear transition exposure.</w:t>
      </w:r>
    </w:p>
    <w:p>
      <w:pPr>
        <w:spacing w:after="80" w:line="245" w:lineRule="auto"/>
      </w:pPr>
      <w:r>
        <w:rPr>
          <w:rFonts w:ascii="Aptos" w:hAnsi="Aptos"/>
          <w:sz w:val="17"/>
        </w:rPr>
        <w:t>A new candidate supersedes an older active candidate. Confirmation hands the trade to conventional trend; expiry/supersession/confirmation provide the implemented invalidation paths. Dynamic deterioration of a candidate’s probability after event time is not yet modelled and remains a limitation.</w:t>
      </w:r>
    </w:p>
    <w:p>
      <w:pPr>
        <w:pStyle w:val="Heading1"/>
        <w:keepNext/>
        <w:spacing w:before="140" w:after="60"/>
      </w:pPr>
    </w:p>
    <w:p>
      <w:pPr>
        <w:spacing w:after="80" w:line="245" w:lineRule="auto"/>
      </w:pPr>
      <w:r>
        <w:rPr>
          <w:rFonts w:ascii="Aptos" w:hAnsi="Aptos"/>
          <w:sz w:val="17"/>
        </w:rPr>
        <w:t>Conventional and transition sleeves are independent risk books. Each is normalized and volatility-scaled separately before being combined in portfolio space. The frozen portfolio allocates 75% to the conventional sleeve and 25% to the transition sleeve, followed by one final portfolio volatility target.</w:t>
      </w:r>
    </w:p>
    <w:p>
      <w:pPr>
        <w:spacing w:after="80" w:line="245" w:lineRule="auto"/>
      </w:pPr>
      <w:r>
        <w:rPr>
          <w:rFonts w:ascii="Aptos" w:hAnsi="Aptos"/>
          <w:sz w:val="17"/>
        </w:rPr>
        <w:t>Decision frequency is weekly (Friday). Market volatility uses a 63-observation lookback and 10% target; sleeve and hybrid volatility scaling use trailing 26-week estimates with 10% targets and 2× leverage caps. Positions are lagged one weekly decision.</w:t>
      </w:r>
    </w:p>
    <w:p>
      <w:pPr>
        <w:pStyle w:val="Heading1"/>
        <w:keepNext/>
        <w:spacing w:before="140" w:after="60"/>
      </w:pPr>
    </w:p>
    <w:p>
      <w:pPr>
        <w:spacing w:after="80" w:line="245" w:lineRule="auto"/>
      </w:pPr>
      <w:r>
        <w:rPr>
          <w:rFonts w:ascii="Aptos" w:hAnsi="Aptos"/>
          <w:sz w:val="17"/>
        </w:rPr>
        <w:t>V2 is long/short but does not impose symmetry. The frozen architecture uses full bear→bull anticipatory exposure and half-sized bull→bear exposure. Alternative short multipliers are robustness tests rather than post-hoc optimization opportunities.</w:t>
      </w:r>
    </w:p>
    <w:p>
      <w:pPr>
        <w:pStyle w:val="Heading1"/>
        <w:keepNext/>
        <w:spacing w:before="140" w:after="60"/>
      </w:pPr>
    </w:p>
    <w:p>
      <w:pPr>
        <w:spacing w:after="80" w:line="245" w:lineRule="auto"/>
      </w:pPr>
      <w:r>
        <w:rPr>
          <w:rFonts w:ascii="Aptos" w:hAnsi="Aptos"/>
          <w:sz w:val="17"/>
        </w:rPr>
        <w:t>Gradual accumulation is uncertainty management: P(transition) ↑ ⇒ |anticipatory exposure| ↑. The rule “cheaper = buy more” is rejected unless conditional evidence supports it.</w:t>
      </w:r>
    </w:p>
    <w:p>
      <w:pPr>
        <w:spacing w:after="80" w:line="245" w:lineRule="auto"/>
      </w:pPr>
      <w:r>
        <w:rPr>
          <w:rFonts w:ascii="Aptos" w:hAnsi="Aptos"/>
          <w:sz w:val="17"/>
        </w:rPr>
        <w:t>The frozen implementation delays accumulation for 21 market observations and then ramps progressively over 42 observations. Earlier accumulation, alternative ramps and different maximum allocations are treated as robustness perturbations.</w:t>
      </w:r>
    </w:p>
    <w:p>
      <w:pPr>
        <w:pStyle w:val="Heading1"/>
        <w:keepNext/>
        <w:spacing w:before="140" w:after="60"/>
      </w:pPr>
    </w:p>
    <w:p>
      <w:pPr>
        <w:spacing w:after="80" w:line="245" w:lineRule="auto"/>
      </w:pPr>
      <w:r>
        <w:rPr>
          <w:rFonts w:ascii="Aptos" w:hAnsi="Aptos"/>
          <w:sz w:val="17"/>
        </w:rPr>
        <w:t>Transaction costs are central because earlier positioning can increase turnover. Sleeve turnover incorporates sleeve-level volatility scaling; hybrid cost testing additionally applies the final hybrid leverage multiplier to weighted sleeve turnover.</w:t>
      </w:r>
    </w:p>
    <w:p>
      <w:pPr>
        <w:spacing w:after="80" w:line="245" w:lineRule="auto"/>
      </w:pPr>
      <w:r>
        <w:rPr>
          <w:rFonts w:ascii="Aptos" w:hAnsi="Aptos"/>
          <w:sz w:val="17"/>
        </w:rPr>
        <w:t>This remains a stylised approximation. A production implementation should also model turnover caused specifically by changes in final hybrid leverage, contract rolls, bid/ask spreads, slippage, commissions, collateral and instrument-specific liquidity.</w:t>
      </w:r>
    </w:p>
    <w:p>
      <w:pPr>
        <w:pStyle w:val="Heading1"/>
        <w:keepNext/>
        <w:spacing w:before="140" w:after="60"/>
      </w:pPr>
    </w:p>
    <w:p>
      <w:pPr>
        <w:spacing w:after="80" w:line="245" w:lineRule="auto"/>
      </w:pPr>
      <w:r>
        <w:rPr>
          <w:rFonts w:ascii="Aptos" w:hAnsi="Aptos"/>
          <w:sz w:val="17"/>
        </w:rPr>
        <w:t>Book 08 is an adversarial one-dimensional robustness tournament, not a new optimization stage. It perturbs causal probability thresholds, entry delay, ramp speed, transition allocation, bearish sizing and transaction costs; excludes asset classes one at a time; removes digital assets; examines subperiods, yearly attribution and concentration.</w:t>
      </w:r>
    </w:p>
    <w:p>
      <w:pPr>
        <w:spacing w:after="80" w:line="245" w:lineRule="auto"/>
      </w:pPr>
      <w:r>
        <w:rPr>
          <w:rFonts w:ascii="Aptos" w:hAnsi="Aptos"/>
          <w:sz w:val="17"/>
        </w:rPr>
        <w:t>Asset exclusions are falsification tests rather than invitations to redesign the universe. The frozen specification is changed only if the architecture fails, not because a neighbouring parameter happens to perform better.</w:t>
      </w:r>
    </w:p>
    <w:p>
      <w:pPr>
        <w:pStyle w:val="Heading1"/>
        <w:keepNext/>
        <w:spacing w:before="140" w:after="60"/>
      </w:pPr>
    </w:p>
    <w:p>
      <w:pPr>
        <w:spacing w:after="80" w:line="245" w:lineRule="auto"/>
      </w:pPr>
      <w:r>
        <w:rPr>
          <w:rFonts w:ascii="Aptos" w:hAnsi="Aptos"/>
          <w:sz w:val="17"/>
        </w:rPr>
        <w:t>The objective is not the historical optimum. Prefer simple, round, conventional parameterisations near the centre of broad stable regions. No feature receives a detailed search until its underlying economic hypothesis demonstrates incremental value. Human inspection of results is itself part of the optimisation process.</w:t>
      </w:r>
    </w:p>
    <w:p>
      <w:pPr>
        <w:pStyle w:val="Heading1"/>
        <w:keepNext/>
        <w:spacing w:before="140" w:after="60"/>
      </w:pPr>
    </w:p>
    <w:p>
      <w:pPr>
        <w:spacing w:after="80" w:line="245" w:lineRule="auto"/>
      </w:pPr>
      <w:r>
        <w:rPr>
          <w:rFonts w:ascii="Aptos" w:hAnsi="Aptos"/>
          <w:sz w:val="17"/>
        </w:rPr>
        <w:t>The desired model is the simplest specification that distinguishes genuine from failed transitions across markets, directions, periods and perturbations and improves the combined trend portfolio after costs. Complexity must earn inclusion.</w:t>
      </w:r>
    </w:p>
    <w:p>
      <w:pPr>
        <w:spacing w:after="80" w:line="245" w:lineRule="auto"/>
      </w:pPr>
      <w:r>
        <w:rPr>
          <w:rFonts w:ascii="Aptos" w:hAnsi="Aptos"/>
          <w:sz w:val="17"/>
        </w:rPr>
        <w:t>Once V2 is frozen, new model families or material rule changes must be versioned separately. Markov-switching regression, survival/hazard models, gradient boosting, changepoint methods and alternative bearish sizing belong to V2.1 rather than V2.</w:t>
      </w:r>
    </w:p>
    <w:p>
      <w:pPr>
        <w:pStyle w:val="Heading1"/>
        <w:keepNext/>
        <w:spacing w:before="140" w:after="60"/>
      </w:pPr>
    </w:p>
    <w:p>
      <w:pPr>
        <w:spacing w:after="80" w:line="245" w:lineRule="auto"/>
      </w:pPr>
      <w:r>
        <w:rPr>
          <w:rFonts w:ascii="Aptos" w:hAnsi="Aptos"/>
          <w:sz w:val="17"/>
        </w:rPr>
        <w:t>Successful proxy-data research should migrate to futures using continuous series for signal research and actual tradable contracts for execution. Implementation must address expiry/rolling, back-adjustment, roll artefacts, multipliers, margin/collateral, liquidity, spreads and slippage.</w:t>
      </w:r>
    </w:p>
    <w:p>
      <w:pPr>
        <w:pStyle w:val="Heading1"/>
        <w:keepNext/>
        <w:spacing w:before="140" w:after="60"/>
      </w:pPr>
    </w:p>
    <w:p>
      <w:pPr>
        <w:spacing w:after="80" w:line="245" w:lineRule="auto"/>
      </w:pPr>
      <w:r>
        <w:rPr>
          <w:rFonts w:ascii="Aptos" w:hAnsi="Aptos"/>
          <w:sz w:val="17"/>
        </w:rPr>
        <w:t>No single metric determines success. Portfolio evaluation includes annualised return/volatility, Sharpe, Sortino/Calmar where appropriate, maximum drawdown, turnover/costs, crisis/reversal behaviour and diversification versus conventional trend. Transition diagnostics include discrimination, calibration, lead time, false-transition rate, direction/asset-class stability and incremental return before conventional confirmation.</w:t>
      </w:r>
    </w:p>
    <w:p>
      <w:pPr>
        <w:pStyle w:val="Heading1"/>
        <w:keepNext/>
        <w:spacing w:before="140" w:after="60"/>
      </w:pPr>
    </w:p>
    <w:p>
      <w:pPr>
        <w:spacing w:after="80" w:line="245" w:lineRule="auto"/>
      </w:pPr>
      <w:r>
        <w:rPr>
          <w:rFonts w:ascii="Aptos" w:hAnsi="Aptos"/>
          <w:sz w:val="17"/>
        </w:rPr>
        <w:t>01 — Universe and Data Engine: prototype universe, signal/P&amp;L separation, coverage and quality controls.</w:t>
      </w:r>
    </w:p>
    <w:p>
      <w:pPr>
        <w:spacing w:after="80" w:line="245" w:lineRule="auto"/>
      </w:pPr>
      <w:r>
        <w:rPr>
          <w:rFonts w:ascii="Aptos" w:hAnsi="Aptos"/>
          <w:sz w:val="17"/>
        </w:rPr>
        <w:t>02 — Conventional Trend Benchmark and Transition Events: slow/fast controls, candidate events and genuine/failed labels.</w:t>
      </w:r>
    </w:p>
    <w:p>
      <w:pPr>
        <w:spacing w:after="80" w:line="245" w:lineRule="auto"/>
      </w:pPr>
      <w:r>
        <w:rPr>
          <w:rFonts w:ascii="Aptos" w:hAnsi="Aptos"/>
          <w:sz w:val="17"/>
        </w:rPr>
        <w:t>03 — Transition Geometry and Divergence Features: conventional geometry, momentum, confirmation distance, SuperbCommand and volatility features.</w:t>
      </w:r>
    </w:p>
    <w:p>
      <w:pPr>
        <w:spacing w:after="80" w:line="245" w:lineRule="auto"/>
      </w:pPr>
      <w:r>
        <w:rPr>
          <w:rFonts w:ascii="Aptos" w:hAnsi="Aptos"/>
          <w:sz w:val="17"/>
        </w:rPr>
        <w:t>04 — Transition Classification and Incremental Feature Testing: expanding annual OOS benchmark ladder and frozen transition-probability model.</w:t>
      </w:r>
    </w:p>
    <w:p>
      <w:pPr>
        <w:spacing w:after="80" w:line="245" w:lineRule="auto"/>
      </w:pPr>
      <w:r>
        <w:rPr>
          <w:rFonts w:ascii="Aptos" w:hAnsi="Aptos"/>
          <w:sz w:val="17"/>
        </w:rPr>
        <w:t>05 — HMM Latent-State Transition Modelling: continuous causal HMM falsification and transformed-state tournament.</w:t>
      </w:r>
    </w:p>
    <w:p>
      <w:pPr>
        <w:spacing w:after="80" w:line="245" w:lineRule="auto"/>
      </w:pPr>
      <w:r>
        <w:rPr>
          <w:rFonts w:ascii="Aptos" w:hAnsi="Aptos"/>
          <w:sz w:val="17"/>
        </w:rPr>
        <w:t>06 — Economic Validation and Position Construction: forward-return mapping, probability buckets, direction/asset/year analysis and bootstrap.</w:t>
      </w:r>
    </w:p>
    <w:p>
      <w:pPr>
        <w:spacing w:after="80" w:line="245" w:lineRule="auto"/>
      </w:pPr>
      <w:r>
        <w:rPr>
          <w:rFonts w:ascii="Aptos" w:hAnsi="Aptos"/>
          <w:sz w:val="17"/>
        </w:rPr>
        <w:t>07 — Transition State Machine and Portfolio Construction: independent sleeves, delayed progressive accumulation and hybrid architecture.</w:t>
      </w:r>
    </w:p>
    <w:p>
      <w:pPr>
        <w:spacing w:after="80" w:line="245" w:lineRule="auto"/>
      </w:pPr>
      <w:r>
        <w:rPr>
          <w:rFonts w:ascii="Aptos" w:hAnsi="Aptos"/>
          <w:sz w:val="17"/>
        </w:rPr>
        <w:t>08 — Final Robustness, Stress Testing and Strategy Freeze: causal thresholds, one-dimensional perturbations, costs, exclusions, subperiods and final freeze decision.</w:t>
      </w:r>
    </w:p>
    <w:p>
      <w:pPr>
        <w:pStyle w:val="Heading1"/>
        <w:keepNext/>
        <w:spacing w:before="140" w:after="60"/>
      </w:pPr>
    </w:p>
    <w:p>
      <w:pPr>
        <w:spacing w:after="80" w:line="245" w:lineRule="auto"/>
      </w:pPr>
      <w:r>
        <w:rPr>
          <w:rFonts w:ascii="Aptos" w:hAnsi="Aptos"/>
          <w:sz w:val="17"/>
        </w:rPr>
        <w:t>V2 succeeds only if transition information exists before conventional confirmation, adds value beyond simpler/faster trend explanations, survives false-transition and cost penalties, improves the combined trend portfolio across broad robustness tests and does not depend on a tiny number of exceptional episodes.</w:t>
      </w:r>
    </w:p>
    <w:p>
      <w:pPr>
        <w:spacing w:after="80" w:line="245" w:lineRule="auto"/>
      </w:pPr>
      <w:r>
        <w:rPr>
          <w:rFonts w:ascii="Aptos" w:hAnsi="Aptos"/>
          <w:sz w:val="17"/>
        </w:rPr>
        <w:t>A negative result for a proposed layer remains a legitimate research finding. Rejected complexity strengthens rather than weakens the research design.</w:t>
      </w:r>
    </w:p>
    <w:p>
      <w:pPr>
        <w:pStyle w:val="Heading1"/>
        <w:keepNext/>
        <w:spacing w:before="140" w:after="60"/>
      </w:pPr>
    </w:p>
    <w:p>
      <w:pPr>
        <w:spacing w:after="80" w:line="245" w:lineRule="auto"/>
      </w:pPr>
      <w:r>
        <w:rPr>
          <w:rFonts w:ascii="Aptos" w:hAnsi="Aptos"/>
          <w:sz w:val="17"/>
        </w:rPr>
        <w:t>The professionally defensible claim is: “I investigated whether anticipatory transition information can recover part of the return sacrificed by conventional trend confirmation without giving the benefit back through false reversals.”</w:t>
      </w:r>
    </w:p>
    <w:p>
      <w:pPr>
        <w:spacing w:after="80" w:line="245" w:lineRule="auto"/>
      </w:pPr>
      <w:r>
        <w:rPr>
          <w:rFonts w:ascii="Aptos" w:hAnsi="Aptos"/>
          <w:sz w:val="17"/>
        </w:rPr>
        <w:t>The empirical answer and detailed evidence are documented separately in the V2 Research Outcomes document.</w:t>
      </w:r>
    </w:p>
    <w:p>
      <w:pPr>
        <w:pStyle w:val="Heading1"/>
        <w:keepNext/>
        <w:spacing w:before="140" w:after="60"/>
      </w:pPr>
    </w:p>
    <w:p>
      <w:pPr>
        <w:spacing w:after="80" w:line="245" w:lineRule="auto"/>
      </w:pPr>
      <w:r>
        <w:rPr>
          <w:rFonts w:ascii="Aptos" w:hAnsi="Aptos"/>
          <w:sz w:val="17"/>
        </w:rPr>
        <w:t>Do not ask whether we can enter before trend confirmation. Earlier entry is trivial. Ask whether we can enter earlier with enough information to improve the continuation-versus-transition trade-off after false reversals, turnover and costs.</w:t>
      </w:r>
    </w:p>
    <w:p>
      <w:pPr>
        <w:spacing w:after="80" w:line="245" w:lineRule="auto"/>
      </w:pPr>
      <w:r>
        <w:rPr>
          <w:rFonts w:ascii="Aptos" w:hAnsi="Aptos"/>
          <w:sz w:val="17"/>
        </w:rPr>
        <w:t>V2 therefore prioritises falsifiability, simple controls, clean state definitions, causal historical evaluation and incremental portfolio value over historical backtest optimisation.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4"/>
      </w:rPr>
      <w:t>Multi-Asset CTA Strategy V2 — Transition Strategy Handbook | Updated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