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40"/>
        </w:rPr>
        <w:t>Multi-Asset CTA Strategy V3</w:t>
      </w:r>
    </w:p>
    <w:p>
      <w:pPr>
        <w:jc w:val="center"/>
      </w:pPr>
      <w:r>
        <w:rPr>
          <w:b/>
          <w:color w:val="2F5597"/>
          <w:sz w:val="24"/>
        </w:rPr>
        <w:t>Machine-Learned Transition Timing, State &amp; Exposure Framework</w:t>
      </w:r>
    </w:p>
    <w:p>
      <w:pPr>
        <w:jc w:val="center"/>
      </w:pPr>
      <w:r>
        <w:rPr>
          <w:i/>
          <w:sz w:val="17"/>
        </w:rPr>
        <w:t>Project Design Date: 13 September 2026 | Status: CHALLENGER PROGRAMME — V3.0 name earned only on successful improvement over frozen V2</w:t>
      </w:r>
    </w:p>
    <w:p>
      <w:pPr>
        <w:pStyle w:val="Heading1"/>
      </w:pPr>
      <w:r>
        <w:t>1. Project Purpose</w:t>
      </w:r>
    </w:p>
    <w:p>
      <w:r>
        <w:t>V3 is the successor research programme to the frozen V2 transition strategy. V2 established that a sparse anticipatory transition sleeve can add economically meaningful value to a conventional multi-asset trend portfolio. V3 asks whether machine learning and improved exposure dynamics can model the probability, timing, evolution and state-dependent payoff of those transitions better than the frozen V2 architecture.</w:t>
      </w:r>
    </w:p>
    <w:p>
      <w:r>
        <w:t>V2 must remain immutable. V3 is not a continuation of V2 optimisation: it is a challenger programme in which every new method competes against a fixed incumbent. If no challenger produces a material, robust and economically meaningful improvement, the correct conclusion is to retain V2 rather than award a new version number.</w:t>
      </w:r>
    </w:p>
    <w:p>
      <w:pPr>
        <w:pStyle w:val="Heading1"/>
      </w:pPr>
      <w:r>
        <w:t>2. Central Research Questions</w:t>
      </w:r>
    </w:p>
    <w:p>
      <w:pPr>
        <w:pStyle w:val="ListBullet"/>
        <w:spacing w:after="30"/>
        <w:ind w:left="259" w:hanging="144"/>
      </w:pPr>
      <w:r>
        <w:t>Can alternative supervised ML improve genuine-vs-failed transition probability beyond the frozen V2 random forest?</w:t>
      </w:r>
    </w:p>
    <w:p>
      <w:pPr>
        <w:pStyle w:val="ListBullet"/>
        <w:spacing w:after="30"/>
        <w:ind w:left="259" w:hanging="144"/>
      </w:pPr>
      <w:r>
        <w:t>Can survival/hazard models estimate when conventional confirmation is likely, rather than only whether a transition will eventually succeed?</w:t>
      </w:r>
    </w:p>
    <w:p>
      <w:pPr>
        <w:pStyle w:val="ListBullet"/>
        <w:spacing w:after="30"/>
        <w:ind w:left="259" w:hanging="144"/>
      </w:pPr>
      <w:r>
        <w:t>Does the economic meaning of V2 transition probability vary across latent market states, as modelled by Markov-switching regression?</w:t>
      </w:r>
    </w:p>
    <w:p>
      <w:pPr>
        <w:pStyle w:val="ListBullet"/>
        <w:spacing w:after="30"/>
        <w:ind w:left="259" w:hanging="144"/>
      </w:pPr>
      <w:r>
        <w:t>Can continuously updated evidence create a genuine dynamic transition/invalidation state machine?</w:t>
      </w:r>
    </w:p>
    <w:p>
      <w:pPr>
        <w:pStyle w:val="ListBullet"/>
        <w:spacing w:after="30"/>
        <w:ind w:left="259" w:hanging="144"/>
      </w:pPr>
      <w:r>
        <w:t>Can practical DCA / partial-adjustment rules improve the path from zero transition exposure to the 25% transition risk budget?</w:t>
      </w:r>
    </w:p>
    <w:p>
      <w:pPr>
        <w:pStyle w:val="ListBullet"/>
        <w:spacing w:after="30"/>
        <w:ind w:left="259" w:hanging="144"/>
      </w:pPr>
      <w:r>
        <w:t>Do any improvements survive realistic costs, broader markets, longer histories and the same anti-overfitting standards as V2?</w:t>
      </w:r>
    </w:p>
    <w:p>
      <w:pPr>
        <w:pStyle w:val="Heading1"/>
      </w:pPr>
      <w:r>
        <w:t>3. Frozen V2 Baseline</w:t>
      </w:r>
    </w:p>
    <w:p>
      <w:r>
        <w:t>V3 Book 01 must reproduce the frozen V2 strategy before any challenger is evaluated. The baseline is the control arm for every subsequent experiment.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F5597"/>
          </w:tcPr>
          <w:p>
            <w:r/>
            <w:r>
              <w:rPr>
                <w:rFonts w:ascii="Aptos" w:hAnsi="Aptos"/>
                <w:b/>
                <w:color w:val="FFFFFF"/>
                <w:sz w:val="16"/>
              </w:rPr>
              <w:t>Component</w:t>
            </w:r>
          </w:p>
        </w:tc>
        <w:tc>
          <w:tcPr>
            <w:tcW w:type="dxa" w:w="5184"/>
            <w:vAlign w:val="center"/>
            <w:shd w:fill="2F5597"/>
          </w:tcPr>
          <w:p>
            <w:r/>
            <w:r>
              <w:rPr>
                <w:rFonts w:ascii="Aptos" w:hAnsi="Aptos"/>
                <w:b/>
                <w:color w:val="FFFFFF"/>
                <w:sz w:val="16"/>
              </w:rPr>
              <w:t>Frozen V2 control</w:t>
            </w:r>
          </w:p>
        </w:tc>
      </w:tr>
      <w:tr>
        <w:tc>
          <w:tcPr>
            <w:tcW w:type="dxa" w:w="5184"/>
            <w:vAlign w:val="center"/>
          </w:tcPr>
          <w:p>
            <w:r/>
            <w:r>
              <w:rPr>
                <w:rFonts w:ascii="Aptos" w:hAnsi="Aptos"/>
                <w:b w:val="0"/>
                <w:sz w:val="15"/>
              </w:rPr>
              <w:t>Conventional trend</w:t>
            </w:r>
          </w:p>
        </w:tc>
        <w:tc>
          <w:tcPr>
            <w:tcW w:type="dxa" w:w="5184"/>
            <w:vAlign w:val="center"/>
          </w:tcPr>
          <w:p>
            <w:r/>
            <w:r>
              <w:rPr>
                <w:rFonts w:ascii="Aptos" w:hAnsi="Aptos"/>
                <w:b w:val="0"/>
                <w:sz w:val="15"/>
              </w:rPr>
              <w:t>Slow 2-of-3 ensemble: 252-observation TSMOM, 100/300 moving-average trend, 252-observation breakout/channel trend</w:t>
            </w:r>
          </w:p>
        </w:tc>
      </w:tr>
      <w:tr>
        <w:tc>
          <w:tcPr>
            <w:tcW w:type="dxa" w:w="5184"/>
            <w:vAlign w:val="center"/>
            <w:shd w:fill="F3F6FA"/>
          </w:tcPr>
          <w:p>
            <w:r/>
            <w:r>
              <w:rPr>
                <w:rFonts w:ascii="Aptos" w:hAnsi="Aptos"/>
                <w:b w:val="0"/>
                <w:sz w:val="15"/>
              </w:rPr>
              <w:t>Transition model</w:t>
            </w:r>
          </w:p>
        </w:tc>
        <w:tc>
          <w:tcPr>
            <w:tcW w:type="dxa" w:w="5184"/>
            <w:vAlign w:val="center"/>
            <w:shd w:fill="F3F6FA"/>
          </w:tcPr>
          <w:p>
            <w:r/>
            <w:r>
              <w:rPr>
                <w:rFonts w:ascii="Aptos" w:hAnsi="Aptos"/>
                <w:b w:val="0"/>
                <w:sz w:val="15"/>
              </w:rPr>
              <w:t>RF_unweighted_C_plus_SC_no_MACD</w:t>
            </w:r>
          </w:p>
        </w:tc>
      </w:tr>
      <w:tr>
        <w:tc>
          <w:tcPr>
            <w:tcW w:type="dxa" w:w="5184"/>
            <w:vAlign w:val="center"/>
          </w:tcPr>
          <w:p>
            <w:r/>
            <w:r>
              <w:rPr>
                <w:rFonts w:ascii="Aptos" w:hAnsi="Aptos"/>
                <w:b w:val="0"/>
                <w:sz w:val="15"/>
              </w:rPr>
              <w:t>Feature families</w:t>
            </w:r>
          </w:p>
        </w:tc>
        <w:tc>
          <w:tcPr>
            <w:tcW w:type="dxa" w:w="5184"/>
            <w:vAlign w:val="center"/>
          </w:tcPr>
          <w:p>
            <w:r/>
            <w:r>
              <w:rPr>
                <w:rFonts w:ascii="Aptos" w:hAnsi="Aptos"/>
                <w:b w:val="0"/>
                <w:sz w:val="15"/>
              </w:rPr>
              <w:t>Conventional transition geometry + surviving SuperbCommand state/geometry</w:t>
            </w:r>
          </w:p>
        </w:tc>
      </w:tr>
      <w:tr>
        <w:tc>
          <w:tcPr>
            <w:tcW w:type="dxa" w:w="5184"/>
            <w:vAlign w:val="center"/>
            <w:shd w:fill="F3F6FA"/>
          </w:tcPr>
          <w:p>
            <w:r/>
            <w:r>
              <w:rPr>
                <w:rFonts w:ascii="Aptos" w:hAnsi="Aptos"/>
                <w:b w:val="0"/>
                <w:sz w:val="15"/>
              </w:rPr>
              <w:t>Probability gate</w:t>
            </w:r>
          </w:p>
        </w:tc>
        <w:tc>
          <w:tcPr>
            <w:tcW w:type="dxa" w:w="5184"/>
            <w:vAlign w:val="center"/>
            <w:shd w:fill="F3F6FA"/>
          </w:tcPr>
          <w:p>
            <w:r/>
            <w:r>
              <w:rPr>
                <w:rFonts w:ascii="Aptos" w:hAnsi="Aptos"/>
                <w:b w:val="0"/>
                <w:sz w:val="15"/>
              </w:rPr>
              <w:t>Fully causal expanding historical 80th-percentile threshold</w:t>
            </w:r>
          </w:p>
        </w:tc>
      </w:tr>
      <w:tr>
        <w:tc>
          <w:tcPr>
            <w:tcW w:type="dxa" w:w="5184"/>
            <w:vAlign w:val="center"/>
          </w:tcPr>
          <w:p>
            <w:r/>
            <w:r>
              <w:rPr>
                <w:rFonts w:ascii="Aptos" w:hAnsi="Aptos"/>
                <w:b w:val="0"/>
                <w:sz w:val="15"/>
              </w:rPr>
              <w:t>Entry delay</w:t>
            </w:r>
          </w:p>
        </w:tc>
        <w:tc>
          <w:tcPr>
            <w:tcW w:type="dxa" w:w="5184"/>
            <w:vAlign w:val="center"/>
          </w:tcPr>
          <w:p>
            <w:r/>
            <w:r>
              <w:rPr>
                <w:rFonts w:ascii="Aptos" w:hAnsi="Aptos"/>
                <w:b w:val="0"/>
                <w:sz w:val="15"/>
              </w:rPr>
              <w:t>21 market observations</w:t>
            </w:r>
          </w:p>
        </w:tc>
      </w:tr>
      <w:tr>
        <w:tc>
          <w:tcPr>
            <w:tcW w:type="dxa" w:w="5184"/>
            <w:vAlign w:val="center"/>
            <w:shd w:fill="F3F6FA"/>
          </w:tcPr>
          <w:p>
            <w:r/>
            <w:r>
              <w:rPr>
                <w:rFonts w:ascii="Aptos" w:hAnsi="Aptos"/>
                <w:b w:val="0"/>
                <w:sz w:val="15"/>
              </w:rPr>
              <w:t>Transition ramp</w:t>
            </w:r>
          </w:p>
        </w:tc>
        <w:tc>
          <w:tcPr>
            <w:tcW w:type="dxa" w:w="5184"/>
            <w:vAlign w:val="center"/>
            <w:shd w:fill="F3F6FA"/>
          </w:tcPr>
          <w:p>
            <w:r/>
            <w:r>
              <w:rPr>
                <w:rFonts w:ascii="Aptos" w:hAnsi="Aptos"/>
                <w:b w:val="0"/>
                <w:sz w:val="15"/>
              </w:rPr>
              <w:t>42 observations</w:t>
            </w:r>
          </w:p>
        </w:tc>
      </w:tr>
      <w:tr>
        <w:tc>
          <w:tcPr>
            <w:tcW w:type="dxa" w:w="5184"/>
            <w:vAlign w:val="center"/>
          </w:tcPr>
          <w:p>
            <w:r/>
            <w:r>
              <w:rPr>
                <w:rFonts w:ascii="Aptos" w:hAnsi="Aptos"/>
                <w:b w:val="0"/>
                <w:sz w:val="15"/>
              </w:rPr>
              <w:t>Maximum signal</w:t>
            </w:r>
          </w:p>
        </w:tc>
        <w:tc>
          <w:tcPr>
            <w:tcW w:type="dxa" w:w="5184"/>
            <w:vAlign w:val="center"/>
          </w:tcPr>
          <w:p>
            <w:r/>
            <w:r>
              <w:rPr>
                <w:rFonts w:ascii="Aptos" w:hAnsi="Aptos"/>
                <w:b w:val="0"/>
                <w:sz w:val="15"/>
              </w:rPr>
              <w:t>0.50</w:t>
            </w:r>
          </w:p>
        </w:tc>
      </w:tr>
      <w:tr>
        <w:tc>
          <w:tcPr>
            <w:tcW w:type="dxa" w:w="5184"/>
            <w:vAlign w:val="center"/>
            <w:shd w:fill="F3F6FA"/>
          </w:tcPr>
          <w:p>
            <w:r/>
            <w:r>
              <w:rPr>
                <w:rFonts w:ascii="Aptos" w:hAnsi="Aptos"/>
                <w:b w:val="0"/>
                <w:sz w:val="15"/>
              </w:rPr>
              <w:t>Direction sizing</w:t>
            </w:r>
          </w:p>
        </w:tc>
        <w:tc>
          <w:tcPr>
            <w:tcW w:type="dxa" w:w="5184"/>
            <w:vAlign w:val="center"/>
            <w:shd w:fill="F3F6FA"/>
          </w:tcPr>
          <w:p>
            <w:r/>
            <w:r>
              <w:rPr>
                <w:rFonts w:ascii="Aptos" w:hAnsi="Aptos"/>
                <w:b w:val="0"/>
                <w:sz w:val="15"/>
              </w:rPr>
              <w:t>Bear→bull 1.0x; bull→bear 0.5x</w:t>
            </w:r>
          </w:p>
        </w:tc>
      </w:tr>
      <w:tr>
        <w:tc>
          <w:tcPr>
            <w:tcW w:type="dxa" w:w="5184"/>
            <w:vAlign w:val="center"/>
          </w:tcPr>
          <w:p>
            <w:r/>
            <w:r>
              <w:rPr>
                <w:rFonts w:ascii="Aptos" w:hAnsi="Aptos"/>
                <w:b w:val="0"/>
                <w:sz w:val="15"/>
              </w:rPr>
              <w:t>Expiry</w:t>
            </w:r>
          </w:p>
        </w:tc>
        <w:tc>
          <w:tcPr>
            <w:tcW w:type="dxa" w:w="5184"/>
            <w:vAlign w:val="center"/>
          </w:tcPr>
          <w:p>
            <w:r/>
            <w:r>
              <w:rPr>
                <w:rFonts w:ascii="Aptos" w:hAnsi="Aptos"/>
                <w:b w:val="0"/>
                <w:sz w:val="15"/>
              </w:rPr>
              <w:t>126 observations without confirmation</w:t>
            </w:r>
          </w:p>
        </w:tc>
      </w:tr>
      <w:tr>
        <w:tc>
          <w:tcPr>
            <w:tcW w:type="dxa" w:w="5184"/>
            <w:vAlign w:val="center"/>
            <w:shd w:fill="F3F6FA"/>
          </w:tcPr>
          <w:p>
            <w:r/>
            <w:r>
              <w:rPr>
                <w:rFonts w:ascii="Aptos" w:hAnsi="Aptos"/>
                <w:b w:val="0"/>
                <w:sz w:val="15"/>
              </w:rPr>
              <w:t>Portfolio</w:t>
            </w:r>
          </w:p>
        </w:tc>
        <w:tc>
          <w:tcPr>
            <w:tcW w:type="dxa" w:w="5184"/>
            <w:vAlign w:val="center"/>
            <w:shd w:fill="F3F6FA"/>
          </w:tcPr>
          <w:p>
            <w:r/>
            <w:r>
              <w:rPr>
                <w:rFonts w:ascii="Aptos" w:hAnsi="Aptos"/>
                <w:b w:val="0"/>
                <w:sz w:val="15"/>
              </w:rPr>
              <w:t>Independent conventional and transition risk sleeves</w:t>
            </w:r>
          </w:p>
        </w:tc>
      </w:tr>
      <w:tr>
        <w:tc>
          <w:tcPr>
            <w:tcW w:type="dxa" w:w="5184"/>
            <w:vAlign w:val="center"/>
          </w:tcPr>
          <w:p>
            <w:r/>
            <w:r>
              <w:rPr>
                <w:rFonts w:ascii="Aptos" w:hAnsi="Aptos"/>
                <w:b w:val="0"/>
                <w:sz w:val="15"/>
              </w:rPr>
              <w:t>Risk allocation</w:t>
            </w:r>
          </w:p>
        </w:tc>
        <w:tc>
          <w:tcPr>
            <w:tcW w:type="dxa" w:w="5184"/>
            <w:vAlign w:val="center"/>
          </w:tcPr>
          <w:p>
            <w:r/>
            <w:r>
              <w:rPr>
                <w:rFonts w:ascii="Aptos" w:hAnsi="Aptos"/>
                <w:b w:val="0"/>
                <w:sz w:val="15"/>
              </w:rPr>
              <w:t>75% conventional / 25% transition</w:t>
            </w:r>
          </w:p>
        </w:tc>
      </w:tr>
      <w:tr>
        <w:tc>
          <w:tcPr>
            <w:tcW w:type="dxa" w:w="5184"/>
            <w:vAlign w:val="center"/>
            <w:shd w:fill="F3F6FA"/>
          </w:tcPr>
          <w:p>
            <w:r/>
            <w:r>
              <w:rPr>
                <w:rFonts w:ascii="Aptos" w:hAnsi="Aptos"/>
                <w:b w:val="0"/>
                <w:sz w:val="15"/>
              </w:rPr>
              <w:t>Decision frequency</w:t>
            </w:r>
          </w:p>
        </w:tc>
        <w:tc>
          <w:tcPr>
            <w:tcW w:type="dxa" w:w="5184"/>
            <w:vAlign w:val="center"/>
            <w:shd w:fill="F3F6FA"/>
          </w:tcPr>
          <w:p>
            <w:r/>
            <w:r>
              <w:rPr>
                <w:rFonts w:ascii="Aptos" w:hAnsi="Aptos"/>
                <w:b w:val="0"/>
                <w:sz w:val="15"/>
              </w:rPr>
              <w:t>Weekly, lagged one decision</w:t>
            </w:r>
          </w:p>
        </w:tc>
      </w:tr>
      <w:tr>
        <w:tc>
          <w:tcPr>
            <w:tcW w:type="dxa" w:w="5184"/>
            <w:vAlign w:val="center"/>
          </w:tcPr>
          <w:p>
            <w:r/>
            <w:r>
              <w:rPr>
                <w:rFonts w:ascii="Aptos" w:hAnsi="Aptos"/>
                <w:b w:val="0"/>
                <w:sz w:val="15"/>
              </w:rPr>
              <w:t>Volatility framework</w:t>
            </w:r>
          </w:p>
        </w:tc>
        <w:tc>
          <w:tcPr>
            <w:tcW w:type="dxa" w:w="5184"/>
            <w:vAlign w:val="center"/>
          </w:tcPr>
          <w:p>
            <w:r/>
            <w:r>
              <w:rPr>
                <w:rFonts w:ascii="Aptos" w:hAnsi="Aptos"/>
                <w:b w:val="0"/>
                <w:sz w:val="15"/>
              </w:rPr>
              <w:t>10% target-vol framework with frozen V2 lookbacks/caps</w:t>
            </w:r>
          </w:p>
        </w:tc>
      </w:tr>
      <w:tr>
        <w:tc>
          <w:tcPr>
            <w:tcW w:type="dxa" w:w="5184"/>
            <w:vAlign w:val="center"/>
            <w:shd w:fill="F3F6FA"/>
          </w:tcPr>
          <w:p>
            <w:r/>
            <w:r>
              <w:rPr>
                <w:rFonts w:ascii="Aptos" w:hAnsi="Aptos"/>
                <w:b w:val="0"/>
                <w:sz w:val="15"/>
              </w:rPr>
              <w:t>Canonical comparison</w:t>
            </w:r>
          </w:p>
        </w:tc>
        <w:tc>
          <w:tcPr>
            <w:tcW w:type="dxa" w:w="5184"/>
            <w:vAlign w:val="center"/>
            <w:shd w:fill="F3F6FA"/>
          </w:tcPr>
          <w:p>
            <w:r/>
            <w:r>
              <w:rPr>
                <w:rFonts w:ascii="Aptos" w:hAnsi="Aptos"/>
                <w:b w:val="0"/>
                <w:sz w:val="15"/>
              </w:rPr>
              <w:t>2008–2025 expanding historical pseudo-OOS</w:t>
            </w:r>
          </w:p>
        </w:tc>
      </w:tr>
      <w:tr>
        <w:tc>
          <w:tcPr>
            <w:tcW w:type="dxa" w:w="5184"/>
            <w:vAlign w:val="center"/>
          </w:tcPr>
          <w:p>
            <w:r/>
            <w:r>
              <w:rPr>
                <w:rFonts w:ascii="Aptos" w:hAnsi="Aptos"/>
                <w:b w:val="0"/>
                <w:sz w:val="15"/>
              </w:rPr>
              <w:t>Cost control</w:t>
            </w:r>
          </w:p>
        </w:tc>
        <w:tc>
          <w:tcPr>
            <w:tcW w:type="dxa" w:w="5184"/>
            <w:vAlign w:val="center"/>
          </w:tcPr>
          <w:p>
            <w:r/>
            <w:r>
              <w:rPr>
                <w:rFonts w:ascii="Aptos" w:hAnsi="Aptos"/>
                <w:b w:val="0"/>
                <w:sz w:val="15"/>
              </w:rPr>
              <w:t>Final V2 leverage-aware transaction-cost methodology</w:t>
            </w:r>
          </w:p>
        </w:tc>
      </w:tr>
    </w:tbl>
    <w:p>
      <w:pPr>
        <w:pStyle w:val="Heading1"/>
      </w:pPr>
      <w:r>
        <w:t>4. Practical V2 Trading Interpretation</w:t>
      </w:r>
    </w:p>
    <w:p>
      <w:r>
        <w:t>The incumbent strategy is a conventional CTA core plus a sparse anticipatory reversal sleeve. The conventional ensemble owns persistent trends. When a transition candidate is detected, the frozen random forest estimates the probability that the incumbent trend will genuinely give way to the opposite conventionally confirmed trend. A candidate must exceed the causal historical probability threshold, survive the 21-observation delay and then accumulates progressively toward its permitted transition signal over 42 observations. Confirmation hands the directional role back to conventional trend; expiry or supersession terminates the candidate.</w:t>
      </w:r>
    </w:p>
    <w:p>
      <w:r>
        <w:t>At portfolio level, conventional and transition positions are not mechanically netted and renormalised market-by-market. They are constructed as independent risk books, combined at 75/25, and then subjected to final portfolio volatility targeting.</w:t>
      </w:r>
    </w:p>
    <w:p>
      <w:pPr>
        <w:pStyle w:val="Heading1"/>
      </w:pPr>
      <w:r>
        <w:t>5. V3 Design Principle: Change One Concept at a Time</w:t>
      </w:r>
    </w:p>
    <w:p>
      <w:r>
        <w:t>The first pass of each V3 research branch should hold the V2 data, features, folds, portfolio construction and costs constant while changing only the target modelling or exposure mechanism under investigation. Only components that independently pass may enter a later combined V3 architecture.</w:t>
      </w:r>
    </w:p>
    <w:p>
      <w:pPr>
        <w:pStyle w:val="ListBullet"/>
        <w:spacing w:after="30"/>
        <w:ind w:left="259" w:hanging="144"/>
      </w:pPr>
      <w:r>
        <w:t>Algorithm before feature expansion: test whether a better learner extracts more from the frozen V2 information set.</w:t>
      </w:r>
    </w:p>
    <w:p>
      <w:pPr>
        <w:pStyle w:val="ListBullet"/>
        <w:spacing w:after="30"/>
        <w:ind w:left="259" w:hanging="144"/>
      </w:pPr>
      <w:r>
        <w:t>Timing before portfolio optimisation: test whether hazard information improves the fixed 21-observation rule.</w:t>
      </w:r>
    </w:p>
    <w:p>
      <w:pPr>
        <w:pStyle w:val="ListBullet"/>
        <w:spacing w:after="30"/>
        <w:ind w:left="259" w:hanging="144"/>
      </w:pPr>
      <w:r>
        <w:t>State conditioning before latent-state complexity: use latent state to modify economic relationships, not simply as another classifier feature.</w:t>
      </w:r>
    </w:p>
    <w:p>
      <w:pPr>
        <w:pStyle w:val="ListBullet"/>
        <w:spacing w:after="30"/>
        <w:ind w:left="259" w:hanging="144"/>
      </w:pPr>
      <w:r>
        <w:t>Exposure dynamics before new alpha: isolate DCA / partial adjustment from predictive-model changes.</w:t>
      </w:r>
    </w:p>
    <w:p>
      <w:pPr>
        <w:pStyle w:val="ListBullet"/>
        <w:spacing w:after="30"/>
        <w:ind w:left="259" w:hanging="144"/>
      </w:pPr>
      <w:r>
        <w:t>No combinatorial search across all models, features and portfolio parameters.</w:t>
      </w:r>
    </w:p>
    <w:p>
      <w:pPr>
        <w:pStyle w:val="Heading1"/>
      </w:pPr>
      <w:r>
        <w:t>6. Research Branch A — Supervised ML Challenger Tournament</w:t>
      </w:r>
    </w:p>
    <w:p>
      <w:r>
        <w:t>The frozen V2 random forest remains the primary predictive benchmark. V3 should test a deliberately small set of interpretable or well-established supervised challengers, initially on the identical V2 feature set.</w:t>
      </w:r>
    </w:p>
    <w:p>
      <w:pPr>
        <w:pStyle w:val="ListBullet"/>
        <w:spacing w:after="30"/>
        <w:ind w:left="259" w:hanging="144"/>
      </w:pPr>
      <w:r>
        <w:t>Gradient-boosted decision trees as the principal nonlinear challenger.</w:t>
      </w:r>
    </w:p>
    <w:p>
      <w:pPr>
        <w:pStyle w:val="ListBullet"/>
        <w:spacing w:after="30"/>
        <w:ind w:left="259" w:hanging="144"/>
      </w:pPr>
      <w:r>
        <w:t>Regularised logistic / generalized linear controls for transparent comparison and calibration.</w:t>
      </w:r>
    </w:p>
    <w:p>
      <w:pPr>
        <w:pStyle w:val="ListBullet"/>
        <w:spacing w:after="30"/>
        <w:ind w:left="259" w:hanging="144"/>
      </w:pPr>
      <w:r>
        <w:t>A calibrated ensemble only if its constituent models demonstrate independent OOS value.</w:t>
      </w:r>
    </w:p>
    <w:p>
      <w:r>
        <w:t>Selection must consider ROC AUC, PR AUC, Brier score, log loss, probability calibration, top-tail enrichment, stability by direction/asset class/year, and downstream economic value. A higher AUC without portfolio improvement is insufficient.</w:t>
      </w:r>
    </w:p>
    <w:p>
      <w:pPr>
        <w:pStyle w:val="Heading1"/>
      </w:pPr>
      <w:r>
        <w:t>7. Research Branch B — Survival and Transition-Hazard Modelling</w:t>
      </w:r>
    </w:p>
    <w:p>
      <w:r>
        <w:t>V2 established that high transition probability is not an exact turning-point signal: economic differentiation was weak immediately after candidate formation and became materially stronger around the 21-observation horizon. V3 should therefore model time-to-confirmation explicitly.</w:t>
      </w:r>
    </w:p>
    <w:p>
      <w:r>
        <w:t>Core target: P(T_confirmation ≤ h | X_t), or an equivalent discrete-time transition hazard conditional on survival to t.</w:t>
      </w:r>
    </w:p>
    <w:p>
      <w:pPr>
        <w:pStyle w:val="ListBullet"/>
        <w:spacing w:after="30"/>
        <w:ind w:left="259" w:hanging="144"/>
      </w:pPr>
      <w:r>
        <w:t>Begin with discrete-time hazard models and transparent Cox-type controls.</w:t>
      </w:r>
    </w:p>
    <w:p>
      <w:pPr>
        <w:pStyle w:val="ListBullet"/>
        <w:spacing w:after="30"/>
        <w:ind w:left="259" w:hanging="144"/>
      </w:pPr>
      <w:r>
        <w:t>Test random-survival-forest or boosted-survival approaches only after simple hazard models.</w:t>
      </w:r>
    </w:p>
    <w:p>
      <w:pPr>
        <w:pStyle w:val="ListBullet"/>
        <w:spacing w:after="30"/>
        <w:ind w:left="259" w:hanging="144"/>
      </w:pPr>
      <w:r>
        <w:t>Evaluate calibration of timing, not merely eventual transition classification.</w:t>
      </w:r>
    </w:p>
    <w:p>
      <w:pPr>
        <w:pStyle w:val="ListBullet"/>
        <w:spacing w:after="30"/>
        <w:ind w:left="259" w:hanging="144"/>
      </w:pPr>
      <w:r>
        <w:t>Test whether hazard information can replace or adapt the fixed 21-observation delay without creating timing fragility.</w:t>
      </w:r>
    </w:p>
    <w:p>
      <w:pPr>
        <w:pStyle w:val="Heading1"/>
      </w:pPr>
      <w:r>
        <w:t>8. Research Branch C — Markov-Switching Economic Models</w:t>
      </w:r>
    </w:p>
    <w:p>
      <w:r>
        <w:t>Book 05 of V2 rejected HMM state probabilities as an incremental production classifier, despite finding descriptive latent migration between genuine and failed transitions. V3 should revisit latent regimes through a different question: does the relationship between transition information and subsequent economic return depend on latent market state?</w:t>
      </w:r>
    </w:p>
    <w:p>
      <w:r>
        <w:t>A representative specification is r(t:t+h) = α[S_t] + β1[S_t]·P_V2 + β2[S_t]·distance + β3[S_t]·momentum + β4[S_t]·volatility + ε. The latent state conditions coefficients rather than being assumed to constitute alpha by itself.</w:t>
      </w:r>
    </w:p>
    <w:p>
      <w:pPr>
        <w:pStyle w:val="ListBullet"/>
        <w:spacing w:after="30"/>
        <w:ind w:left="259" w:hanging="144"/>
      </w:pPr>
      <w:r>
        <w:t>Start with parsimonious Markov-switching regressions / switching autoregressions.</w:t>
      </w:r>
    </w:p>
    <w:p>
      <w:pPr>
        <w:pStyle w:val="ListBullet"/>
        <w:spacing w:after="30"/>
        <w:ind w:left="259" w:hanging="144"/>
      </w:pPr>
      <w:r>
        <w:t>Interpret states using training data only.</w:t>
      </w:r>
    </w:p>
    <w:p>
      <w:pPr>
        <w:pStyle w:val="ListBullet"/>
        <w:spacing w:after="30"/>
        <w:ind w:left="259" w:hanging="144"/>
      </w:pPr>
      <w:r>
        <w:t>Require stable economic interpretation and incremental OOS value.</w:t>
      </w:r>
    </w:p>
    <w:p>
      <w:pPr>
        <w:pStyle w:val="ListBullet"/>
        <w:spacing w:after="30"/>
        <w:ind w:left="259" w:hanging="144"/>
      </w:pPr>
      <w:r>
        <w:t>Do not resurrect HMM complexity merely because latent migration is visually interesting.</w:t>
      </w:r>
    </w:p>
    <w:p>
      <w:pPr>
        <w:pStyle w:val="Heading1"/>
      </w:pPr>
      <w:r>
        <w:t>9. Research Branch D — Dynamic Transition &amp; Invalidation State</w:t>
      </w:r>
    </w:p>
    <w:p>
      <w:r>
        <w:t>A material V2 limitation is that candidate probability is effectively fixed at candidate inception. V3 should investigate continuously updated transition evidence so exposure can rise as the thesis strengthens and fall when it deteriorates.</w:t>
      </w:r>
    </w:p>
    <w:p>
      <w:r>
        <w:t>Desired logic: Established Trend → Maturation → Transition → Confirmation, with Transition → Invalidation → Established Trend as a live path rather than primarily an expiry/supersession mechanism.</w:t>
      </w:r>
    </w:p>
    <w:p>
      <w:pPr>
        <w:pStyle w:val="ListBullet"/>
        <w:spacing w:after="30"/>
        <w:ind w:left="259" w:hanging="144"/>
      </w:pPr>
      <w:r>
        <w:t>Re-estimate or update transition probability causally through the candidate life.</w:t>
      </w:r>
    </w:p>
    <w:p>
      <w:pPr>
        <w:pStyle w:val="ListBullet"/>
        <w:spacing w:after="30"/>
        <w:ind w:left="259" w:hanging="144"/>
      </w:pPr>
      <w:r>
        <w:t>Combine eventual-success probability with transition hazard and state-conditional expected payoff.</w:t>
      </w:r>
    </w:p>
    <w:p>
      <w:pPr>
        <w:pStyle w:val="ListBullet"/>
        <w:spacing w:after="30"/>
        <w:ind w:left="259" w:hanging="144"/>
      </w:pPr>
      <w:r>
        <w:t>Reduce exposure when evidence deteriorates rather than waiting mechanically for expiry.</w:t>
      </w:r>
    </w:p>
    <w:p>
      <w:pPr>
        <w:pStyle w:val="ListBullet"/>
        <w:spacing w:after="30"/>
        <w:ind w:left="259" w:hanging="144"/>
      </w:pPr>
      <w:r>
        <w:t>Preserve strict information timing: no smoothed or future-conditioned state probabilities.</w:t>
      </w:r>
    </w:p>
    <w:p>
      <w:pPr>
        <w:pStyle w:val="Heading1"/>
      </w:pPr>
      <w:r>
        <w:t>10. Research Branch E — Practical DCA and Exposure Dynamics</w:t>
      </w:r>
    </w:p>
    <w:p>
      <w:r>
        <w:t>V2 contains a 42-observation signal-confidence ramp but did not isolate the practical portfolio question of how an actual transition position should move toward its 25% portfolio risk budget, equivalent to one-third of the 75% conventional sleeve allocation. V3 should study this explicitly before more complex ML components are combined.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F5597"/>
          </w:tcPr>
          <w:p>
            <w:r/>
            <w:r>
              <w:rPr>
                <w:rFonts w:ascii="Aptos" w:hAnsi="Aptos"/>
                <w:b/>
                <w:color w:val="FFFFFF"/>
                <w:sz w:val="16"/>
              </w:rPr>
              <w:t>Execution scheme</w:t>
            </w:r>
          </w:p>
        </w:tc>
        <w:tc>
          <w:tcPr>
            <w:tcW w:type="dxa" w:w="5184"/>
            <w:vAlign w:val="center"/>
            <w:shd w:fill="2F5597"/>
          </w:tcPr>
          <w:p>
            <w:r/>
            <w:r>
              <w:rPr>
                <w:rFonts w:ascii="Aptos" w:hAnsi="Aptos"/>
                <w:b/>
                <w:color w:val="FFFFFF"/>
                <w:sz w:val="16"/>
              </w:rPr>
              <w:t>Research interpretation</w:t>
            </w:r>
          </w:p>
        </w:tc>
      </w:tr>
      <w:tr>
        <w:tc>
          <w:tcPr>
            <w:tcW w:type="dxa" w:w="5184"/>
            <w:vAlign w:val="center"/>
          </w:tcPr>
          <w:p>
            <w:r/>
            <w:r>
              <w:rPr>
                <w:rFonts w:ascii="Aptos" w:hAnsi="Aptos"/>
                <w:b w:val="0"/>
                <w:sz w:val="15"/>
              </w:rPr>
              <w:t>Frozen V2</w:t>
            </w:r>
          </w:p>
        </w:tc>
        <w:tc>
          <w:tcPr>
            <w:tcW w:type="dxa" w:w="5184"/>
            <w:vAlign w:val="center"/>
          </w:tcPr>
          <w:p>
            <w:r/>
            <w:r>
              <w:rPr>
                <w:rFonts w:ascii="Aptos" w:hAnsi="Aptos"/>
                <w:b w:val="0"/>
                <w:sz w:val="15"/>
              </w:rPr>
              <w:t>21-observation delay + 42-observation signal ramp; portfolio follows resulting target</w:t>
            </w:r>
          </w:p>
        </w:tc>
      </w:tr>
      <w:tr>
        <w:tc>
          <w:tcPr>
            <w:tcW w:type="dxa" w:w="5184"/>
            <w:vAlign w:val="center"/>
            <w:shd w:fill="F3F6FA"/>
          </w:tcPr>
          <w:p>
            <w:r/>
            <w:r>
              <w:rPr>
                <w:rFonts w:ascii="Aptos" w:hAnsi="Aptos"/>
                <w:b w:val="0"/>
                <w:sz w:val="15"/>
              </w:rPr>
              <w:t>Immediate target</w:t>
            </w:r>
          </w:p>
        </w:tc>
        <w:tc>
          <w:tcPr>
            <w:tcW w:type="dxa" w:w="5184"/>
            <w:vAlign w:val="center"/>
            <w:shd w:fill="F3F6FA"/>
          </w:tcPr>
          <w:p>
            <w:r/>
            <w:r>
              <w:rPr>
                <w:rFonts w:ascii="Aptos" w:hAnsi="Aptos"/>
                <w:b w:val="0"/>
                <w:sz w:val="15"/>
              </w:rPr>
              <w:t>After eligibility, move directly to permitted transition target; tests whether the V2 signal ramp itself adds value</w:t>
            </w:r>
          </w:p>
        </w:tc>
      </w:tr>
      <w:tr>
        <w:tc>
          <w:tcPr>
            <w:tcW w:type="dxa" w:w="5184"/>
            <w:vAlign w:val="center"/>
          </w:tcPr>
          <w:p>
            <w:r/>
            <w:r>
              <w:rPr>
                <w:rFonts w:ascii="Aptos" w:hAnsi="Aptos"/>
                <w:b w:val="0"/>
                <w:sz w:val="15"/>
              </w:rPr>
              <w:t>Fixed-step DCA</w:t>
            </w:r>
          </w:p>
        </w:tc>
        <w:tc>
          <w:tcPr>
            <w:tcW w:type="dxa" w:w="5184"/>
            <w:vAlign w:val="center"/>
          </w:tcPr>
          <w:p>
            <w:r/>
            <w:r>
              <w:rPr>
                <w:rFonts w:ascii="Aptos" w:hAnsi="Aptos"/>
                <w:b w:val="0"/>
                <w:sz w:val="15"/>
              </w:rPr>
              <w:t>Move toward target in equal weekly fractions, e.g. 2-, 4-, 5- or 10-step schedules</w:t>
            </w:r>
          </w:p>
        </w:tc>
      </w:tr>
      <w:tr>
        <w:tc>
          <w:tcPr>
            <w:tcW w:type="dxa" w:w="5184"/>
            <w:vAlign w:val="center"/>
            <w:shd w:fill="F3F6FA"/>
          </w:tcPr>
          <w:p>
            <w:r/>
            <w:r>
              <w:rPr>
                <w:rFonts w:ascii="Aptos" w:hAnsi="Aptos"/>
                <w:b w:val="0"/>
                <w:sz w:val="15"/>
              </w:rPr>
              <w:t>Partial adjustment</w:t>
            </w:r>
          </w:p>
        </w:tc>
        <w:tc>
          <w:tcPr>
            <w:tcW w:type="dxa" w:w="5184"/>
            <w:vAlign w:val="center"/>
            <w:shd w:fill="F3F6FA"/>
          </w:tcPr>
          <w:p>
            <w:r/>
            <w:r>
              <w:rPr>
                <w:rFonts w:ascii="Aptos" w:hAnsi="Aptos"/>
                <w:b w:val="0"/>
                <w:sz w:val="15"/>
              </w:rPr>
              <w:t>w_actual,t = w_actual,t−1 + λ(w_target,t − w_actual,t−1)</w:t>
            </w:r>
          </w:p>
        </w:tc>
      </w:tr>
      <w:tr>
        <w:tc>
          <w:tcPr>
            <w:tcW w:type="dxa" w:w="5184"/>
            <w:vAlign w:val="center"/>
          </w:tcPr>
          <w:p>
            <w:r/>
            <w:r>
              <w:rPr>
                <w:rFonts w:ascii="Aptos" w:hAnsi="Aptos"/>
                <w:b w:val="0"/>
                <w:sz w:val="15"/>
              </w:rPr>
              <w:t>Evidence-adaptive DCA</w:t>
            </w:r>
          </w:p>
        </w:tc>
        <w:tc>
          <w:tcPr>
            <w:tcW w:type="dxa" w:w="5184"/>
            <w:vAlign w:val="center"/>
          </w:tcPr>
          <w:p>
            <w:r/>
            <w:r>
              <w:rPr>
                <w:rFonts w:ascii="Aptos" w:hAnsi="Aptos"/>
                <w:b w:val="0"/>
                <w:sz w:val="15"/>
              </w:rPr>
              <w:t>Acceleration/deceleration governed by probability, hazard and/or state-conditional expected payoff</w:t>
            </w:r>
          </w:p>
        </w:tc>
      </w:tr>
    </w:tbl>
    <w:p>
      <w:r>
        <w:t>DCA must be time/evidence based, not a disguised 'price fell further, therefore buy more' averaging-down rule. Entry and exit dynamics should be tested separately: gradual entry may be rational while invalidation or confirmation hand-off may warrant faster execution.</w:t>
      </w:r>
    </w:p>
    <w:p>
      <w:pPr>
        <w:pStyle w:val="Heading1"/>
      </w:pPr>
      <w:r>
        <w:t>11. Data Architecture and Universe Expansion</w:t>
      </w:r>
    </w:p>
    <w:p>
      <w:r>
        <w:t>The first V3 model tournament should use the same 53-market V2 universe so algorithmic improvements are attributable. Universe expansion should then become a separate external-generalisation stage rather than being mixed into initial model selection.</w:t>
      </w:r>
    </w:p>
    <w:p>
      <w:r>
        <w:t>Priority should be breadth within the existing institutional macro asset classes before exotic additions:</w:t>
      </w:r>
    </w:p>
    <w:p>
      <w:pPr>
        <w:pStyle w:val="ListBullet"/>
        <w:spacing w:after="30"/>
        <w:ind w:left="259" w:hanging="144"/>
      </w:pPr>
      <w:r>
        <w:t>Equity indices: additional developed and liquid emerging-market country/regional indices.</w:t>
      </w:r>
    </w:p>
    <w:p>
      <w:pPr>
        <w:pStyle w:val="ListBullet"/>
        <w:spacing w:after="30"/>
        <w:ind w:left="259" w:hanging="144"/>
      </w:pPr>
      <w:r>
        <w:t>Rates: broader sovereign futures curves across the US, Germany, UK, Japan, Australia, Canada and liquid short-rate markets.</w:t>
      </w:r>
    </w:p>
    <w:p>
      <w:pPr>
        <w:pStyle w:val="ListBullet"/>
        <w:spacing w:after="30"/>
        <w:ind w:left="259" w:hanging="144"/>
      </w:pPr>
      <w:r>
        <w:t>Commodities: additional energy, refined products, metals, grains, softs and livestock where clean tradable histories exist.</w:t>
      </w:r>
    </w:p>
    <w:p>
      <w:pPr>
        <w:pStyle w:val="ListBullet"/>
        <w:spacing w:after="30"/>
        <w:ind w:left="259" w:hanging="144"/>
      </w:pPr>
      <w:r>
        <w:t>FX: additional developed and liquid emerging-market currencies with economically correct return/carry treatment.</w:t>
      </w:r>
    </w:p>
    <w:p>
      <w:r>
        <w:t>A later target universe of roughly 80–120 liquid markets is reasonable if data quality supports it. Single stocks should remain outside the core CTA experiment because survivorship, corporate actions, factor structure and cross-sectional equity effects materially change the research problem. Additional crypto should be a separate robustness branch rather than a source of training-volume inflation.</w:t>
      </w:r>
    </w:p>
    <w:p>
      <w:pPr>
        <w:pStyle w:val="Heading1"/>
      </w:pPr>
      <w:r>
        <w:t>12. Historical Expansion and Data Quality</w:t>
      </w:r>
    </w:p>
    <w:p>
      <w:r>
        <w:t>Where institutional-quality data can be obtained, extending traditional-market history into approximately 1985–1999 is strongly desirable. The frozen V2 architecture should first be run unchanged on pre-2000 history as retrospective external temporal validation. These years did not influence V2 design, but they are not a prospective holdout and must not be used to retrofit V2.</w:t>
      </w:r>
    </w:p>
    <w:p>
      <w:pPr>
        <w:pStyle w:val="ListBullet"/>
        <w:spacing w:after="30"/>
        <w:ind w:left="259" w:hanging="144"/>
      </w:pPr>
      <w:r>
        <w:t>Potential regimes include the 1987 crash, ERM crisis, 1994 bond selloff, Asian Financial Crisis, Russian default/LTCM and the late-1990s equity transition.</w:t>
      </w:r>
    </w:p>
    <w:p>
      <w:pPr>
        <w:pStyle w:val="ListBullet"/>
        <w:spacing w:after="30"/>
        <w:ind w:left="259" w:hanging="144"/>
      </w:pPr>
      <w:r>
        <w:t>After this external V2 test is documented, a new V3 training/validation protocol may incorporate the longer history prospectively within the V3 research design.</w:t>
      </w:r>
    </w:p>
    <w:p>
      <w:pPr>
        <w:pStyle w:val="ListBullet"/>
        <w:spacing w:after="30"/>
        <w:ind w:left="259" w:hanging="144"/>
      </w:pPr>
      <w:r>
        <w:t>Pre-2000 expansion is valuable only if series construction is economically credible; more years of poor proxy data are not automatically better.</w:t>
      </w:r>
    </w:p>
    <w:p>
      <w:r>
        <w:t>V3 should prioritise institutional-quality signal and P&amp;L data: explicit futures rolls, collateral, contract multipliers, total-return equity treatment where applicable, FX carry and instrument-specific execution assumptions.</w:t>
      </w:r>
    </w:p>
    <w:p>
      <w:pPr>
        <w:pStyle w:val="Heading1"/>
      </w:pPr>
      <w:r>
        <w:t>13. Validation Protocol</w:t>
      </w:r>
    </w:p>
    <w:p>
      <w:r>
        <w:t>V3 should preserve expanding or walk-forward historical pseudo-OOS testing and should define all folds before model comparison. The common 2008–2025 period remains essential because it permits direct V2/V3 comparison. Any longer-history protocol must be frozen before challenger results are inspected.</w:t>
      </w:r>
    </w:p>
    <w:p>
      <w:pPr>
        <w:pStyle w:val="ListBullet"/>
        <w:spacing w:after="30"/>
        <w:ind w:left="259" w:hanging="144"/>
      </w:pPr>
      <w:r>
        <w:t>No random train/test split for time-series transition events.</w:t>
      </w:r>
    </w:p>
    <w:p>
      <w:pPr>
        <w:pStyle w:val="ListBullet"/>
        <w:spacing w:after="30"/>
        <w:ind w:left="259" w:hanging="144"/>
      </w:pPr>
      <w:r>
        <w:t>All preprocessing, feature selection, calibration, state interpretation and hyperparameter selection must occur inside training history.</w:t>
      </w:r>
    </w:p>
    <w:p>
      <w:pPr>
        <w:pStyle w:val="ListBullet"/>
        <w:spacing w:after="30"/>
        <w:ind w:left="259" w:hanging="144"/>
      </w:pPr>
      <w:r>
        <w:t>Report overall, direction, asset-class, year and subperiod results.</w:t>
      </w:r>
    </w:p>
    <w:p>
      <w:pPr>
        <w:pStyle w:val="ListBullet"/>
        <w:spacing w:after="30"/>
        <w:ind w:left="259" w:hanging="144"/>
      </w:pPr>
      <w:r>
        <w:t>Use identical market calendars and causal lags.</w:t>
      </w:r>
    </w:p>
    <w:p>
      <w:pPr>
        <w:pStyle w:val="ListBullet"/>
        <w:spacing w:after="30"/>
        <w:ind w:left="259" w:hanging="144"/>
      </w:pPr>
      <w:r>
        <w:t>Maintain a genuinely future prospective holdout after the final V3 architecture is frozen.</w:t>
      </w:r>
    </w:p>
    <w:p>
      <w:pPr>
        <w:pStyle w:val="Heading1"/>
      </w:pPr>
      <w:r>
        <w:t>14. Economic Evaluation and V3 Promotion Criteria</w:t>
      </w:r>
    </w:p>
    <w:p>
      <w:r>
        <w:t>V3 should not be promoted merely because a classifier produces a higher historical AUC or because one portfolio variant has a higher gross Sharpe. A successful V3 should improve the quality of the transition decision itself.</w:t>
      </w:r>
    </w:p>
    <w:p>
      <w:pPr>
        <w:pStyle w:val="ListBullet"/>
        <w:spacing w:after="30"/>
        <w:ind w:left="259" w:hanging="144"/>
      </w:pPr>
      <w:r>
        <w:t>Better OOS transition discrimination and/or calibration.</w:t>
      </w:r>
    </w:p>
    <w:p>
      <w:pPr>
        <w:pStyle w:val="ListBullet"/>
        <w:spacing w:after="30"/>
        <w:ind w:left="259" w:hanging="144"/>
      </w:pPr>
      <w:r>
        <w:t>Better timing of successful transitions and fewer damaging premature entries.</w:t>
      </w:r>
    </w:p>
    <w:p>
      <w:pPr>
        <w:pStyle w:val="ListBullet"/>
        <w:spacing w:after="30"/>
        <w:ind w:left="259" w:hanging="144"/>
      </w:pPr>
      <w:r>
        <w:t>A functioning dynamic invalidation mechanism.</w:t>
      </w:r>
    </w:p>
    <w:p>
      <w:pPr>
        <w:pStyle w:val="ListBullet"/>
        <w:spacing w:after="30"/>
        <w:ind w:left="259" w:hanging="144"/>
      </w:pPr>
      <w:r>
        <w:t>Improved net performance at realistic transaction costs, with 10 bps retained as an important stress benchmark.</w:t>
      </w:r>
    </w:p>
    <w:p>
      <w:pPr>
        <w:pStyle w:val="ListBullet"/>
        <w:spacing w:after="30"/>
        <w:ind w:left="259" w:hanging="144"/>
      </w:pPr>
      <w:r>
        <w:t>Equal or improved drawdown/tail behaviour.</w:t>
      </w:r>
    </w:p>
    <w:p>
      <w:pPr>
        <w:pStyle w:val="ListBullet"/>
        <w:spacing w:after="30"/>
        <w:ind w:left="259" w:hanging="144"/>
      </w:pPr>
      <w:r>
        <w:t>Reduced dependence on a fixed 21-observation delay or other arbitrary timing constants.</w:t>
      </w:r>
    </w:p>
    <w:p>
      <w:pPr>
        <w:pStyle w:val="ListBullet"/>
        <w:spacing w:after="30"/>
        <w:ind w:left="259" w:hanging="144"/>
      </w:pPr>
      <w:r>
        <w:t>Broader contribution outside equity indices, or at minimum no deterioration in cross-asset generality.</w:t>
      </w:r>
    </w:p>
    <w:p>
      <w:pPr>
        <w:pStyle w:val="ListBullet"/>
        <w:spacing w:after="30"/>
        <w:ind w:left="259" w:hanging="144"/>
      </w:pPr>
      <w:r>
        <w:t>Robustness across subperiods, market exclusions, parameter perturbations and expanded histories/universes.</w:t>
      </w:r>
    </w:p>
    <w:p>
      <w:r>
        <w:t>Improvement may therefore be multidimensional. The goal is not simply Sharpe(V3) &gt; Sharpe(V2), but a more informative, timely, robust and implementable transition process.</w:t>
      </w:r>
    </w:p>
    <w:p>
      <w:pPr>
        <w:pStyle w:val="Heading1"/>
      </w:pPr>
      <w:r>
        <w:t>15. Anti-Overfitting and Model-Governance Rules</w:t>
      </w:r>
    </w:p>
    <w:p>
      <w:pPr>
        <w:pStyle w:val="ListBullet"/>
        <w:spacing w:after="30"/>
        <w:ind w:left="259" w:hanging="144"/>
      </w:pPr>
      <w:r>
        <w:t>V2 is permanently frozen and cannot be retrofitted after seeing V3 results.</w:t>
      </w:r>
    </w:p>
    <w:p>
      <w:pPr>
        <w:pStyle w:val="ListBullet"/>
        <w:spacing w:after="30"/>
        <w:ind w:left="259" w:hanging="144"/>
      </w:pPr>
      <w:r>
        <w:t>Every V3 branch must state its hypothesis before results are inspected.</w:t>
      </w:r>
    </w:p>
    <w:p>
      <w:pPr>
        <w:pStyle w:val="ListBullet"/>
        <w:spacing w:after="30"/>
        <w:ind w:left="259" w:hanging="144"/>
      </w:pPr>
      <w:r>
        <w:t>Do not test dozens of algorithms and select the best historical Sharpe.</w:t>
      </w:r>
    </w:p>
    <w:p>
      <w:pPr>
        <w:pStyle w:val="ListBullet"/>
        <w:spacing w:after="30"/>
        <w:ind w:left="259" w:hanging="144"/>
      </w:pPr>
      <w:r>
        <w:t>Prefer small challenger families with economic rationale and interpretable diagnostics.</w:t>
      </w:r>
    </w:p>
    <w:p>
      <w:pPr>
        <w:pStyle w:val="ListBullet"/>
        <w:spacing w:after="30"/>
        <w:ind w:left="259" w:hanging="144"/>
      </w:pPr>
      <w:r>
        <w:t>Hyperparameters should be coarse, nested inside training windows and selected for stable regions rather than historical optima.</w:t>
      </w:r>
    </w:p>
    <w:p>
      <w:pPr>
        <w:pStyle w:val="ListBullet"/>
        <w:spacing w:after="30"/>
        <w:ind w:left="259" w:hanging="144"/>
      </w:pPr>
      <w:r>
        <w:t>Failed models remain documented research outcomes.</w:t>
      </w:r>
    </w:p>
    <w:p>
      <w:pPr>
        <w:pStyle w:val="ListBullet"/>
        <w:spacing w:after="30"/>
        <w:ind w:left="259" w:hanging="144"/>
      </w:pPr>
      <w:r>
        <w:t>A complex model must beat both V2 and the simplest relevant V3 control.</w:t>
      </w:r>
    </w:p>
    <w:p>
      <w:pPr>
        <w:pStyle w:val="ListBullet"/>
        <w:spacing w:after="30"/>
        <w:ind w:left="259" w:hanging="144"/>
      </w:pPr>
      <w:r>
        <w:t>The final robustness book is for falsification, not last-minute parameter selection.</w:t>
      </w:r>
    </w:p>
    <w:p>
      <w:pPr>
        <w:pStyle w:val="Heading1"/>
      </w:pPr>
      <w:r>
        <w:t>16. Proposed Notebook Architecture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F5597"/>
          </w:tcPr>
          <w:p>
            <w:r/>
            <w:r>
              <w:rPr>
                <w:rFonts w:ascii="Aptos" w:hAnsi="Aptos"/>
                <w:b/>
                <w:color w:val="FFFFFF"/>
                <w:sz w:val="16"/>
              </w:rPr>
              <w:t>Book</w:t>
            </w:r>
          </w:p>
        </w:tc>
        <w:tc>
          <w:tcPr>
            <w:tcW w:type="dxa" w:w="5184"/>
            <w:vAlign w:val="center"/>
            <w:shd w:fill="2F5597"/>
          </w:tcPr>
          <w:p>
            <w:r/>
            <w:r>
              <w:rPr>
                <w:rFonts w:ascii="Aptos" w:hAnsi="Aptos"/>
                <w:b/>
                <w:color w:val="FFFFFF"/>
                <w:sz w:val="16"/>
              </w:rPr>
              <w:t>Purpose</w:t>
            </w:r>
          </w:p>
        </w:tc>
      </w:tr>
      <w:tr>
        <w:tc>
          <w:tcPr>
            <w:tcW w:type="dxa" w:w="5184"/>
            <w:vAlign w:val="center"/>
          </w:tcPr>
          <w:p>
            <w:r/>
            <w:r>
              <w:rPr>
                <w:rFonts w:ascii="Aptos" w:hAnsi="Aptos"/>
                <w:b w:val="0"/>
                <w:sz w:val="15"/>
              </w:rPr>
              <w:t>01 — Frozen V2 Benchmark &amp; Data Reconstruction</w:t>
            </w:r>
          </w:p>
        </w:tc>
        <w:tc>
          <w:tcPr>
            <w:tcW w:type="dxa" w:w="5184"/>
            <w:vAlign w:val="center"/>
          </w:tcPr>
          <w:p>
            <w:r/>
            <w:r>
              <w:rPr>
                <w:rFonts w:ascii="Aptos" w:hAnsi="Aptos"/>
                <w:b w:val="0"/>
                <w:sz w:val="15"/>
              </w:rPr>
              <w:t>Reproduce V2 control; lock data, folds, metrics, costs and baseline portfolio.</w:t>
            </w:r>
          </w:p>
        </w:tc>
      </w:tr>
      <w:tr>
        <w:tc>
          <w:tcPr>
            <w:tcW w:type="dxa" w:w="5184"/>
            <w:vAlign w:val="center"/>
            <w:shd w:fill="F3F6FA"/>
          </w:tcPr>
          <w:p>
            <w:r/>
            <w:r>
              <w:rPr>
                <w:rFonts w:ascii="Aptos" w:hAnsi="Aptos"/>
                <w:b w:val="0"/>
                <w:sz w:val="15"/>
              </w:rPr>
              <w:t>02 — Data Quality &amp; Historical Extension</w:t>
            </w:r>
          </w:p>
        </w:tc>
        <w:tc>
          <w:tcPr>
            <w:tcW w:type="dxa" w:w="5184"/>
            <w:vAlign w:val="center"/>
            <w:shd w:fill="F3F6FA"/>
          </w:tcPr>
          <w:p>
            <w:r/>
            <w:r>
              <w:rPr>
                <w:rFonts w:ascii="Aptos" w:hAnsi="Aptos"/>
                <w:b w:val="0"/>
                <w:sz w:val="15"/>
              </w:rPr>
              <w:t>Institutional signal/P&amp;L improvements; optional pre-2000 frozen-V2 external validation.</w:t>
            </w:r>
          </w:p>
        </w:tc>
      </w:tr>
      <w:tr>
        <w:tc>
          <w:tcPr>
            <w:tcW w:type="dxa" w:w="5184"/>
            <w:vAlign w:val="center"/>
          </w:tcPr>
          <w:p>
            <w:r/>
            <w:r>
              <w:rPr>
                <w:rFonts w:ascii="Aptos" w:hAnsi="Aptos"/>
                <w:b w:val="0"/>
                <w:sz w:val="15"/>
              </w:rPr>
              <w:t>03 — Supervised ML Challenger Tournament</w:t>
            </w:r>
          </w:p>
        </w:tc>
        <w:tc>
          <w:tcPr>
            <w:tcW w:type="dxa" w:w="5184"/>
            <w:vAlign w:val="center"/>
          </w:tcPr>
          <w:p>
            <w:r/>
            <w:r>
              <w:rPr>
                <w:rFonts w:ascii="Aptos" w:hAnsi="Aptos"/>
                <w:b w:val="0"/>
                <w:sz w:val="15"/>
              </w:rPr>
              <w:t>Gradient boosting and limited transparent controls versus frozen V2 RF.</w:t>
            </w:r>
          </w:p>
        </w:tc>
      </w:tr>
      <w:tr>
        <w:tc>
          <w:tcPr>
            <w:tcW w:type="dxa" w:w="5184"/>
            <w:vAlign w:val="center"/>
            <w:shd w:fill="F3F6FA"/>
          </w:tcPr>
          <w:p>
            <w:r/>
            <w:r>
              <w:rPr>
                <w:rFonts w:ascii="Aptos" w:hAnsi="Aptos"/>
                <w:b w:val="0"/>
                <w:sz w:val="15"/>
              </w:rPr>
              <w:t>04 — Survival &amp; Transition-Hazard Modelling</w:t>
            </w:r>
          </w:p>
        </w:tc>
        <w:tc>
          <w:tcPr>
            <w:tcW w:type="dxa" w:w="5184"/>
            <w:vAlign w:val="center"/>
            <w:shd w:fill="F3F6FA"/>
          </w:tcPr>
          <w:p>
            <w:r/>
            <w:r>
              <w:rPr>
                <w:rFonts w:ascii="Aptos" w:hAnsi="Aptos"/>
                <w:b w:val="0"/>
                <w:sz w:val="15"/>
              </w:rPr>
              <w:t>Estimate timing/confirmation hazard and challenge fixed 21-observation delay.</w:t>
            </w:r>
          </w:p>
        </w:tc>
      </w:tr>
      <w:tr>
        <w:tc>
          <w:tcPr>
            <w:tcW w:type="dxa" w:w="5184"/>
            <w:vAlign w:val="center"/>
          </w:tcPr>
          <w:p>
            <w:r/>
            <w:r>
              <w:rPr>
                <w:rFonts w:ascii="Aptos" w:hAnsi="Aptos"/>
                <w:b w:val="0"/>
                <w:sz w:val="15"/>
              </w:rPr>
              <w:t>05 — Markov-Switching Economic Models</w:t>
            </w:r>
          </w:p>
        </w:tc>
        <w:tc>
          <w:tcPr>
            <w:tcW w:type="dxa" w:w="5184"/>
            <w:vAlign w:val="center"/>
          </w:tcPr>
          <w:p>
            <w:r/>
            <w:r>
              <w:rPr>
                <w:rFonts w:ascii="Aptos" w:hAnsi="Aptos"/>
                <w:b w:val="0"/>
                <w:sz w:val="15"/>
              </w:rPr>
              <w:t>Test state-dependent economic meaning of transition information.</w:t>
            </w:r>
          </w:p>
        </w:tc>
      </w:tr>
      <w:tr>
        <w:tc>
          <w:tcPr>
            <w:tcW w:type="dxa" w:w="5184"/>
            <w:vAlign w:val="center"/>
            <w:shd w:fill="F3F6FA"/>
          </w:tcPr>
          <w:p>
            <w:r/>
            <w:r>
              <w:rPr>
                <w:rFonts w:ascii="Aptos" w:hAnsi="Aptos"/>
                <w:b w:val="0"/>
                <w:sz w:val="15"/>
              </w:rPr>
              <w:t>06 — Transition Exposure Dynamics &amp; DCA</w:t>
            </w:r>
          </w:p>
        </w:tc>
        <w:tc>
          <w:tcPr>
            <w:tcW w:type="dxa" w:w="5184"/>
            <w:vAlign w:val="center"/>
            <w:shd w:fill="F3F6FA"/>
          </w:tcPr>
          <w:p>
            <w:r/>
            <w:r>
              <w:rPr>
                <w:rFonts w:ascii="Aptos" w:hAnsi="Aptos"/>
                <w:b w:val="0"/>
                <w:sz w:val="15"/>
              </w:rPr>
              <w:t>Signal ramp vs immediate target, fixed-step DCA, partial adjustment and entry/exit asymmetry.</w:t>
            </w:r>
          </w:p>
        </w:tc>
      </w:tr>
      <w:tr>
        <w:tc>
          <w:tcPr>
            <w:tcW w:type="dxa" w:w="5184"/>
            <w:vAlign w:val="center"/>
          </w:tcPr>
          <w:p>
            <w:r/>
            <w:r>
              <w:rPr>
                <w:rFonts w:ascii="Aptos" w:hAnsi="Aptos"/>
                <w:b w:val="0"/>
                <w:sz w:val="15"/>
              </w:rPr>
              <w:t>07 — Dynamic State Machine &amp; Combined V3 Portfolio</w:t>
            </w:r>
          </w:p>
        </w:tc>
        <w:tc>
          <w:tcPr>
            <w:tcW w:type="dxa" w:w="5184"/>
            <w:vAlign w:val="center"/>
          </w:tcPr>
          <w:p>
            <w:r/>
            <w:r>
              <w:rPr>
                <w:rFonts w:ascii="Aptos" w:hAnsi="Aptos"/>
                <w:b w:val="0"/>
                <w:sz w:val="15"/>
              </w:rPr>
              <w:t>Combine only independently surviving components; implement live invalidation and portfolio construction.</w:t>
            </w:r>
          </w:p>
        </w:tc>
      </w:tr>
      <w:tr>
        <w:tc>
          <w:tcPr>
            <w:tcW w:type="dxa" w:w="5184"/>
            <w:vAlign w:val="center"/>
            <w:shd w:fill="F3F6FA"/>
          </w:tcPr>
          <w:p>
            <w:r/>
            <w:r>
              <w:rPr>
                <w:rFonts w:ascii="Aptos" w:hAnsi="Aptos"/>
                <w:b w:val="0"/>
                <w:sz w:val="15"/>
              </w:rPr>
              <w:t>08 — Universe Expansion &amp; External Generalisation</w:t>
            </w:r>
          </w:p>
        </w:tc>
        <w:tc>
          <w:tcPr>
            <w:tcW w:type="dxa" w:w="5184"/>
            <w:vAlign w:val="center"/>
            <w:shd w:fill="F3F6FA"/>
          </w:tcPr>
          <w:p>
            <w:r/>
            <w:r>
              <w:rPr>
                <w:rFonts w:ascii="Aptos" w:hAnsi="Aptos"/>
                <w:b w:val="0"/>
                <w:sz w:val="15"/>
              </w:rPr>
              <w:t>Test frozen candidate architecture on additional markets/asset classes without re-optimising.</w:t>
            </w:r>
          </w:p>
        </w:tc>
      </w:tr>
      <w:tr>
        <w:tc>
          <w:tcPr>
            <w:tcW w:type="dxa" w:w="5184"/>
            <w:vAlign w:val="center"/>
          </w:tcPr>
          <w:p>
            <w:r/>
            <w:r>
              <w:rPr>
                <w:rFonts w:ascii="Aptos" w:hAnsi="Aptos"/>
                <w:b w:val="0"/>
                <w:sz w:val="15"/>
              </w:rPr>
              <w:t>09 — Final Robustness, Costs &amp; Stress Testing</w:t>
            </w:r>
          </w:p>
        </w:tc>
        <w:tc>
          <w:tcPr>
            <w:tcW w:type="dxa" w:w="5184"/>
            <w:vAlign w:val="center"/>
          </w:tcPr>
          <w:p>
            <w:r/>
            <w:r>
              <w:rPr>
                <w:rFonts w:ascii="Aptos" w:hAnsi="Aptos"/>
                <w:b w:val="0"/>
                <w:sz w:val="15"/>
              </w:rPr>
              <w:t>Parameter perturbation, exclusions, subperiods, turnover, costs, concentration and tail regimes.</w:t>
            </w:r>
          </w:p>
        </w:tc>
      </w:tr>
      <w:tr>
        <w:tc>
          <w:tcPr>
            <w:tcW w:type="dxa" w:w="5184"/>
            <w:vAlign w:val="center"/>
            <w:shd w:fill="F3F6FA"/>
          </w:tcPr>
          <w:p>
            <w:r/>
            <w:r>
              <w:rPr>
                <w:rFonts w:ascii="Aptos" w:hAnsi="Aptos"/>
                <w:b w:val="0"/>
                <w:sz w:val="15"/>
              </w:rPr>
              <w:t>10 — V3 Promotion Decision &amp; Strategy Freeze</w:t>
            </w:r>
          </w:p>
        </w:tc>
        <w:tc>
          <w:tcPr>
            <w:tcW w:type="dxa" w:w="5184"/>
            <w:vAlign w:val="center"/>
            <w:shd w:fill="F3F6FA"/>
          </w:tcPr>
          <w:p>
            <w:r/>
            <w:r>
              <w:rPr>
                <w:rFonts w:ascii="Aptos" w:hAnsi="Aptos"/>
                <w:b w:val="0"/>
                <w:sz w:val="15"/>
              </w:rPr>
              <w:t>Compare against frozen V2 and either promote V3.0 or reject challengers and retain V2.</w:t>
            </w:r>
          </w:p>
        </w:tc>
      </w:tr>
    </w:tbl>
    <w:p>
      <w:pPr>
        <w:pStyle w:val="Heading1"/>
      </w:pPr>
      <w:r>
        <w:t>17. Development Sequence</w:t>
      </w:r>
    </w:p>
    <w:p>
      <w:r>
        <w:t>Step 1: Reproduce V2 exactly and establish machine-checkable benchmark equality.</w:t>
      </w:r>
    </w:p>
    <w:p>
      <w:r>
        <w:t>Step 2: Improve data quality and, where feasible, evaluate frozen V2 on pre-2000 history before using that history for V3 modelling.</w:t>
      </w:r>
    </w:p>
    <w:p>
      <w:r>
        <w:t>Step 3: Run supervised ML challengers on the frozen V2 information set.</w:t>
      </w:r>
    </w:p>
    <w:p>
      <w:r>
        <w:t>Step 4: Model time-to-confirmation with survival/hazard methods.</w:t>
      </w:r>
    </w:p>
    <w:p>
      <w:r>
        <w:t>Step 5: Test Markov-switching regression as a state-conditional economic model.</w:t>
      </w:r>
    </w:p>
    <w:p>
      <w:r>
        <w:t>Step 6: Isolate practical transition-position DCA and partial-adjustment rules.</w:t>
      </w:r>
    </w:p>
    <w:p>
      <w:r>
        <w:t>Step 7: Construct a continuously updating transition/invalidation state only from components that passed independently.</w:t>
      </w:r>
    </w:p>
    <w:p>
      <w:r>
        <w:t>Step 8: Combine surviving components into a candidate V3 portfolio without reopening failed branches.</w:t>
      </w:r>
    </w:p>
    <w:p>
      <w:r>
        <w:t>Step 9: Freeze the candidate architecture, then expand the universe as an external generalisation test.</w:t>
      </w:r>
    </w:p>
    <w:p>
      <w:r>
        <w:t>Step 10: Perform final adversarial robustness and cost testing.</w:t>
      </w:r>
    </w:p>
    <w:p>
      <w:r>
        <w:t>Step 11: Promote to V3.0 only if improvement is material and robust; otherwise retain frozen V2.</w:t>
      </w:r>
    </w:p>
    <w:p>
      <w:r>
        <w:t>Step 12: After freeze, collect genuinely prospective evidence and migrate surviving implementation to institutional futures/LEAN.</w:t>
      </w:r>
    </w:p>
    <w:p>
      <w:pPr>
        <w:pStyle w:val="Heading1"/>
      </w:pPr>
      <w:r>
        <w:t>18. Decision Rule and Naming Convention</w:t>
      </w:r>
    </w:p>
    <w:p>
      <w:r>
        <w:t>The research programme may be referred to operationally as the V3 challenger programme, but the strategy should earn the formal V3.0 designation only if it materially improves upon frozen V2 under the pre-specified validation framework.</w:t>
      </w:r>
    </w:p>
    <w:p>
      <w:r>
        <w:t>Successful outcome: PASS — V3.0 RESEARCH SPECIFICATION FROZEN.</w:t>
      </w:r>
    </w:p>
    <w:p>
      <w:r>
        <w:t>Unsuccessful outcome: V3 CHALLENGERS REJECTED — RETAIN V2.</w:t>
      </w:r>
    </w:p>
    <w:p>
      <w:r>
        <w:t>A null result is scientifically useful: it would demonstrate that the relatively simple V2 random-forest/state-machine architecture is difficult to improve with additional ML complexity.</w:t>
      </w:r>
    </w:p>
    <w:p>
      <w:pPr>
        <w:pStyle w:val="Heading1"/>
      </w:pPr>
      <w:r>
        <w:t>19. Professional Research Framing</w:t>
      </w:r>
    </w:p>
    <w:p>
      <w:r>
        <w:t>The professionally defensible V3 claim is:</w:t>
      </w:r>
    </w:p>
    <w:p>
      <w:pPr>
        <w:jc w:val="center"/>
      </w:pPr>
      <w:r>
        <w:rPr>
          <w:b/>
          <w:i/>
          <w:color w:val="17365D"/>
        </w:rPr>
        <w:t>Can machine learning improve the probability, timing, evolution and state-dependent economic payoff of trend transitions beyond a frozen anticipatory-transition benchmark?</w:t>
      </w:r>
    </w:p>
    <w:p>
      <w:r>
        <w:t>V3 should be judged by incremental information and implementation value, not by algorithmic novelty. The best outcome may be a more sophisticated model; it may equally be confirmation that V2 captures most of the robust transition information available in the chosen price-derived information set.</w:t>
      </w:r>
    </w:p>
    <w:p>
      <w:pPr>
        <w:pStyle w:val="Heading1"/>
      </w:pPr>
      <w:r>
        <w:t>20. Final Research Principle</w:t>
      </w:r>
    </w:p>
    <w:p>
      <w:r>
        <w:t>V2 established that earlier positioning can add value when transition evidence is strong and entry is delayed until the transition develops. V3 should not discard that lesson. Its purpose is to determine whether richer machine-learning methods and better exposure dynamics can make the transition process more timely, adaptive, generalisable and economically efficient without sacrificing the falsifiability and simplicity that allowed V2 to survive.</w:t>
      </w:r>
    </w:p>
    <w:p>
      <w:pPr>
        <w:jc w:val="center"/>
      </w:pPr>
      <w:r>
        <w:rPr>
          <w:b/>
          <w:color w:val="2F5597"/>
          <w:sz w:val="20"/>
        </w:rPr>
        <w:t>Frozen V2 → Better Data → Better Timing → Better State Conditioning → Better Exposure Dynamics → External Generalisation → V3 Promotion Test</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Multi-Asset CTA Strategy V3 — Research Design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Multi-Asset CTA Strategy V3 — Transition Strategy Handbook |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2F559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