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6AB4B" w14:textId="77777777" w:rsidR="004063E1" w:rsidRDefault="00000000">
      <w:pPr>
        <w:pStyle w:val="Title"/>
        <w:spacing w:after="50"/>
        <w:jc w:val="center"/>
      </w:pPr>
      <w:r>
        <w:rPr>
          <w:b/>
        </w:rPr>
        <w:t>SuperbCommand Multi-Asset CTA Strategy</w:t>
      </w:r>
    </w:p>
    <w:p w14:paraId="24863304" w14:textId="77777777" w:rsidR="004063E1" w:rsidRDefault="00000000">
      <w:pPr>
        <w:spacing w:after="50" w:line="240" w:lineRule="auto"/>
        <w:jc w:val="center"/>
      </w:pPr>
      <w:r>
        <w:rPr>
          <w:b/>
          <w:sz w:val="22"/>
        </w:rPr>
        <w:t>Brief Research Outcomes — Frozen Research Specification v1.0</w:t>
      </w:r>
    </w:p>
    <w:p w14:paraId="4B5FE0F7" w14:textId="77777777" w:rsidR="004063E1" w:rsidRDefault="00000000">
      <w:pPr>
        <w:spacing w:after="50" w:line="240" w:lineRule="auto"/>
        <w:jc w:val="center"/>
      </w:pPr>
      <w:r>
        <w:rPr>
          <w:i/>
        </w:rPr>
        <w:t>September 2026 | Research status: FROZEN | 2026 holdout: SEEN</w:t>
      </w:r>
    </w:p>
    <w:p w14:paraId="38464CA2" w14:textId="77777777" w:rsidR="004063E1" w:rsidRDefault="00000000">
      <w:pPr>
        <w:pStyle w:val="Heading1"/>
        <w:spacing w:after="50" w:line="240" w:lineRule="auto"/>
      </w:pPr>
      <w:r>
        <w:t>1. Research Objective</w:t>
      </w:r>
    </w:p>
    <w:p w14:paraId="7BF6A1B7" w14:textId="77777777" w:rsidR="004063E1" w:rsidRDefault="00000000">
      <w:pPr>
        <w:spacing w:after="50" w:line="240" w:lineRule="auto"/>
      </w:pPr>
      <w:r>
        <w:t>The project tested whether the custom SuperbCommand weekly state-machine could form the basis of a robust multi-asset CTA-style strategy. Research covered signal ablation, long/short variants, portfolio construction, walk-forward validation, robustness and bootstrap tests, asset-class specialization, entry and pullback sizing, an untouched 2026 holdout, and execution-cost/timing stress tests.</w:t>
      </w:r>
    </w:p>
    <w:p w14:paraId="3FA6D288" w14:textId="77777777" w:rsidR="004063E1" w:rsidRDefault="00000000">
      <w:pPr>
        <w:pStyle w:val="Heading1"/>
        <w:spacing w:after="50" w:line="240" w:lineRule="auto"/>
      </w:pPr>
      <w:r>
        <w:t>2. Frozen Portfolio Architecture</w:t>
      </w:r>
    </w:p>
    <w:tbl>
      <w:tblPr>
        <w:tblStyle w:val="TableGrid"/>
        <w:tblW w:w="0" w:type="auto"/>
        <w:jc w:val="center"/>
        <w:tblLook w:val="04A0" w:firstRow="1" w:lastRow="0" w:firstColumn="1" w:lastColumn="0" w:noHBand="0" w:noVBand="1"/>
      </w:tblPr>
      <w:tblGrid>
        <w:gridCol w:w="5083"/>
        <w:gridCol w:w="5083"/>
      </w:tblGrid>
      <w:tr w:rsidR="004063E1" w14:paraId="2BAD894C" w14:textId="77777777">
        <w:trPr>
          <w:jc w:val="center"/>
        </w:trPr>
        <w:tc>
          <w:tcPr>
            <w:tcW w:w="5083" w:type="dxa"/>
            <w:vAlign w:val="center"/>
          </w:tcPr>
          <w:p w14:paraId="7DE7785B" w14:textId="77777777" w:rsidR="004063E1" w:rsidRDefault="00000000">
            <w:r>
              <w:rPr>
                <w:sz w:val="17"/>
              </w:rPr>
              <w:t>Attribute</w:t>
            </w:r>
          </w:p>
        </w:tc>
        <w:tc>
          <w:tcPr>
            <w:tcW w:w="5083" w:type="dxa"/>
            <w:vAlign w:val="center"/>
          </w:tcPr>
          <w:p w14:paraId="340129CE" w14:textId="77777777" w:rsidR="004063E1" w:rsidRDefault="00000000">
            <w:r>
              <w:rPr>
                <w:sz w:val="17"/>
              </w:rPr>
              <w:t>Frozen choice</w:t>
            </w:r>
          </w:p>
        </w:tc>
      </w:tr>
      <w:tr w:rsidR="004063E1" w14:paraId="644240D3" w14:textId="77777777">
        <w:trPr>
          <w:jc w:val="center"/>
        </w:trPr>
        <w:tc>
          <w:tcPr>
            <w:tcW w:w="5083" w:type="dxa"/>
            <w:vAlign w:val="center"/>
          </w:tcPr>
          <w:p w14:paraId="3B78EAB2" w14:textId="77777777" w:rsidR="004063E1" w:rsidRDefault="00000000">
            <w:r>
              <w:rPr>
                <w:sz w:val="17"/>
              </w:rPr>
              <w:t>Direction</w:t>
            </w:r>
          </w:p>
        </w:tc>
        <w:tc>
          <w:tcPr>
            <w:tcW w:w="5083" w:type="dxa"/>
            <w:vAlign w:val="center"/>
          </w:tcPr>
          <w:p w14:paraId="28D09072" w14:textId="77777777" w:rsidR="004063E1" w:rsidRDefault="00000000">
            <w:r>
              <w:rPr>
                <w:sz w:val="17"/>
              </w:rPr>
              <w:t>Long / cash; generic shorting rejected</w:t>
            </w:r>
          </w:p>
        </w:tc>
      </w:tr>
      <w:tr w:rsidR="004063E1" w14:paraId="00B8D422" w14:textId="77777777">
        <w:trPr>
          <w:jc w:val="center"/>
        </w:trPr>
        <w:tc>
          <w:tcPr>
            <w:tcW w:w="5083" w:type="dxa"/>
            <w:vAlign w:val="center"/>
          </w:tcPr>
          <w:p w14:paraId="5CBDCF91" w14:textId="77777777" w:rsidR="004063E1" w:rsidRDefault="00000000">
            <w:r>
              <w:rPr>
                <w:sz w:val="17"/>
              </w:rPr>
              <w:t>Universe</w:t>
            </w:r>
          </w:p>
        </w:tc>
        <w:tc>
          <w:tcPr>
            <w:tcW w:w="5083" w:type="dxa"/>
            <w:vAlign w:val="center"/>
          </w:tcPr>
          <w:p w14:paraId="78D0E39C" w14:textId="77777777" w:rsidR="004063E1" w:rsidRDefault="00000000">
            <w:r>
              <w:rPr>
                <w:sz w:val="17"/>
              </w:rPr>
              <w:t>SPY, EFA, EEM; SHY, IEF, TLT, TIP; GLD, DBC; UUP; BTC-USD</w:t>
            </w:r>
          </w:p>
        </w:tc>
      </w:tr>
      <w:tr w:rsidR="004063E1" w14:paraId="796F3E30" w14:textId="77777777">
        <w:trPr>
          <w:jc w:val="center"/>
        </w:trPr>
        <w:tc>
          <w:tcPr>
            <w:tcW w:w="5083" w:type="dxa"/>
            <w:vAlign w:val="center"/>
          </w:tcPr>
          <w:p w14:paraId="4DAEC496" w14:textId="77777777" w:rsidR="004063E1" w:rsidRDefault="00000000">
            <w:r>
              <w:rPr>
                <w:sz w:val="17"/>
              </w:rPr>
              <w:t>Frequency</w:t>
            </w:r>
          </w:p>
        </w:tc>
        <w:tc>
          <w:tcPr>
            <w:tcW w:w="5083" w:type="dxa"/>
            <w:vAlign w:val="center"/>
          </w:tcPr>
          <w:p w14:paraId="44B89D16" w14:textId="77777777" w:rsidR="004063E1" w:rsidRDefault="00000000">
            <w:r>
              <w:rPr>
                <w:sz w:val="17"/>
              </w:rPr>
              <w:t>Weekly</w:t>
            </w:r>
          </w:p>
        </w:tc>
      </w:tr>
      <w:tr w:rsidR="004063E1" w14:paraId="4B9DA733" w14:textId="77777777">
        <w:trPr>
          <w:jc w:val="center"/>
        </w:trPr>
        <w:tc>
          <w:tcPr>
            <w:tcW w:w="5083" w:type="dxa"/>
            <w:vAlign w:val="center"/>
          </w:tcPr>
          <w:p w14:paraId="3BB1B88A" w14:textId="77777777" w:rsidR="004063E1" w:rsidRDefault="00000000">
            <w:r>
              <w:rPr>
                <w:sz w:val="17"/>
              </w:rPr>
              <w:t>Portfolio construction</w:t>
            </w:r>
          </w:p>
        </w:tc>
        <w:tc>
          <w:tcPr>
            <w:tcW w:w="5083" w:type="dxa"/>
            <w:vAlign w:val="center"/>
          </w:tcPr>
          <w:p w14:paraId="2C015EC6" w14:textId="77777777" w:rsidR="004063E1" w:rsidRDefault="00000000">
            <w:r>
              <w:t>Hierarchical inverse-volatility weighting across asset classes and within each asset class</w:t>
            </w:r>
          </w:p>
        </w:tc>
      </w:tr>
      <w:tr w:rsidR="004063E1" w14:paraId="04A36215" w14:textId="77777777">
        <w:trPr>
          <w:jc w:val="center"/>
        </w:trPr>
        <w:tc>
          <w:tcPr>
            <w:tcW w:w="5083" w:type="dxa"/>
            <w:vAlign w:val="center"/>
          </w:tcPr>
          <w:p w14:paraId="7A241E20" w14:textId="77777777" w:rsidR="004063E1" w:rsidRDefault="00000000">
            <w:r>
              <w:rPr>
                <w:sz w:val="17"/>
              </w:rPr>
              <w:t>Volatility estimator</w:t>
            </w:r>
          </w:p>
        </w:tc>
        <w:tc>
          <w:tcPr>
            <w:tcW w:w="5083" w:type="dxa"/>
            <w:vAlign w:val="center"/>
          </w:tcPr>
          <w:p w14:paraId="56A4A038" w14:textId="77777777" w:rsidR="004063E1" w:rsidRDefault="00000000">
            <w:r>
              <w:t>26-week underlying-asset volatility, minimum 13 observations, lagged one week</w:t>
            </w:r>
          </w:p>
        </w:tc>
      </w:tr>
      <w:tr w:rsidR="004063E1" w14:paraId="0F301511" w14:textId="77777777">
        <w:trPr>
          <w:jc w:val="center"/>
        </w:trPr>
        <w:tc>
          <w:tcPr>
            <w:tcW w:w="5083" w:type="dxa"/>
            <w:vAlign w:val="center"/>
          </w:tcPr>
          <w:p w14:paraId="0AF67C06" w14:textId="77777777" w:rsidR="004063E1" w:rsidRDefault="00000000">
            <w:r>
              <w:rPr>
                <w:sz w:val="17"/>
              </w:rPr>
              <w:t>Equity Early Reversal</w:t>
            </w:r>
          </w:p>
        </w:tc>
        <w:tc>
          <w:tcPr>
            <w:tcW w:w="5083" w:type="dxa"/>
            <w:vAlign w:val="center"/>
          </w:tcPr>
          <w:p w14:paraId="2D00B518" w14:textId="77777777" w:rsidR="004063E1" w:rsidRDefault="00000000">
            <w:r>
              <w:rPr>
                <w:sz w:val="17"/>
              </w:rPr>
              <w:t>2-step 50/50 entry for SPY, EFA and EEM</w:t>
            </w:r>
          </w:p>
        </w:tc>
      </w:tr>
      <w:tr w:rsidR="004063E1" w14:paraId="3EEF72DE" w14:textId="77777777">
        <w:trPr>
          <w:jc w:val="center"/>
        </w:trPr>
        <w:tc>
          <w:tcPr>
            <w:tcW w:w="5083" w:type="dxa"/>
            <w:vAlign w:val="center"/>
          </w:tcPr>
          <w:p w14:paraId="42A4DB42" w14:textId="77777777" w:rsidR="004063E1" w:rsidRDefault="00000000">
            <w:r>
              <w:rPr>
                <w:sz w:val="17"/>
              </w:rPr>
              <w:t>Other Early Reversal</w:t>
            </w:r>
          </w:p>
        </w:tc>
        <w:tc>
          <w:tcPr>
            <w:tcW w:w="5083" w:type="dxa"/>
            <w:vAlign w:val="center"/>
          </w:tcPr>
          <w:p w14:paraId="497C41A7" w14:textId="77777777" w:rsidR="004063E1" w:rsidRDefault="00000000">
            <w:r>
              <w:rPr>
                <w:sz w:val="17"/>
              </w:rPr>
              <w:t>Immediate entry</w:t>
            </w:r>
          </w:p>
        </w:tc>
      </w:tr>
      <w:tr w:rsidR="004063E1" w14:paraId="60B9C259" w14:textId="77777777">
        <w:trPr>
          <w:jc w:val="center"/>
        </w:trPr>
        <w:tc>
          <w:tcPr>
            <w:tcW w:w="5083" w:type="dxa"/>
            <w:vAlign w:val="center"/>
          </w:tcPr>
          <w:p w14:paraId="03168844" w14:textId="77777777" w:rsidR="004063E1" w:rsidRDefault="00000000">
            <w:r>
              <w:rPr>
                <w:sz w:val="17"/>
              </w:rPr>
              <w:t>Pullback sizing</w:t>
            </w:r>
          </w:p>
        </w:tc>
        <w:tc>
          <w:tcPr>
            <w:tcW w:w="5083" w:type="dxa"/>
            <w:vAlign w:val="center"/>
          </w:tcPr>
          <w:p w14:paraId="12765579" w14:textId="77777777" w:rsidR="004063E1" w:rsidRDefault="00000000">
            <w:r>
              <w:rPr>
                <w:sz w:val="17"/>
              </w:rPr>
              <w:t>Hold existing 1.00x exposure; no accumulation above target</w:t>
            </w:r>
          </w:p>
        </w:tc>
      </w:tr>
      <w:tr w:rsidR="004063E1" w14:paraId="2CA85071" w14:textId="77777777">
        <w:trPr>
          <w:jc w:val="center"/>
        </w:trPr>
        <w:tc>
          <w:tcPr>
            <w:tcW w:w="5083" w:type="dxa"/>
            <w:vAlign w:val="center"/>
          </w:tcPr>
          <w:p w14:paraId="5161B46F" w14:textId="77777777" w:rsidR="004063E1" w:rsidRDefault="00000000">
            <w:r>
              <w:rPr>
                <w:sz w:val="17"/>
              </w:rPr>
              <w:t>Profit taking</w:t>
            </w:r>
          </w:p>
        </w:tc>
        <w:tc>
          <w:tcPr>
            <w:tcW w:w="5083" w:type="dxa"/>
            <w:vAlign w:val="center"/>
          </w:tcPr>
          <w:p w14:paraId="2C53F9F1" w14:textId="77777777" w:rsidR="004063E1" w:rsidRDefault="00000000">
            <w:r>
              <w:rPr>
                <w:sz w:val="17"/>
              </w:rPr>
              <w:t>Existing accepted SuperbCommand logic retained</w:t>
            </w:r>
          </w:p>
        </w:tc>
      </w:tr>
      <w:tr w:rsidR="004063E1" w14:paraId="02609DED" w14:textId="77777777">
        <w:trPr>
          <w:jc w:val="center"/>
        </w:trPr>
        <w:tc>
          <w:tcPr>
            <w:tcW w:w="5083" w:type="dxa"/>
            <w:vAlign w:val="center"/>
          </w:tcPr>
          <w:p w14:paraId="5022DA3D" w14:textId="77777777" w:rsidR="004063E1" w:rsidRDefault="00000000">
            <w:r>
              <w:rPr>
                <w:sz w:val="17"/>
              </w:rPr>
              <w:t>Leverage</w:t>
            </w:r>
          </w:p>
        </w:tc>
        <w:tc>
          <w:tcPr>
            <w:tcW w:w="5083" w:type="dxa"/>
            <w:vAlign w:val="center"/>
          </w:tcPr>
          <w:p w14:paraId="641B322C" w14:textId="77777777" w:rsidR="004063E1" w:rsidRDefault="00000000">
            <w:r>
              <w:rPr>
                <w:sz w:val="17"/>
              </w:rPr>
              <w:t>None</w:t>
            </w:r>
          </w:p>
        </w:tc>
      </w:tr>
      <w:tr w:rsidR="004063E1" w14:paraId="0B0EFB68" w14:textId="77777777">
        <w:trPr>
          <w:jc w:val="center"/>
        </w:trPr>
        <w:tc>
          <w:tcPr>
            <w:tcW w:w="5083" w:type="dxa"/>
            <w:vAlign w:val="center"/>
          </w:tcPr>
          <w:p w14:paraId="4F973BB4" w14:textId="77777777" w:rsidR="004063E1" w:rsidRDefault="00000000">
            <w:r>
              <w:rPr>
                <w:sz w:val="17"/>
              </w:rPr>
              <w:t>Generic short sleeve</w:t>
            </w:r>
          </w:p>
        </w:tc>
        <w:tc>
          <w:tcPr>
            <w:tcW w:w="5083" w:type="dxa"/>
            <w:vAlign w:val="center"/>
          </w:tcPr>
          <w:p w14:paraId="77DA417B" w14:textId="77777777" w:rsidR="004063E1" w:rsidRDefault="00000000">
            <w:r>
              <w:rPr>
                <w:sz w:val="17"/>
              </w:rPr>
              <w:t>None</w:t>
            </w:r>
          </w:p>
        </w:tc>
      </w:tr>
    </w:tbl>
    <w:p w14:paraId="58CF71AA" w14:textId="77777777" w:rsidR="004063E1" w:rsidRDefault="00000000">
      <w:pPr>
        <w:pStyle w:val="Heading1"/>
        <w:spacing w:after="50" w:line="240" w:lineRule="auto"/>
      </w:pPr>
      <w:r>
        <w:t>3. Principal Research Findings</w:t>
      </w:r>
    </w:p>
    <w:p w14:paraId="29485908" w14:textId="77777777" w:rsidR="004063E1" w:rsidRDefault="00000000">
      <w:pPr>
        <w:pStyle w:val="ListBullet"/>
        <w:spacing w:after="50" w:line="240" w:lineRule="auto"/>
      </w:pPr>
      <w:r>
        <w:t>Simple trend following was a formidable benchmark. The 13/52-week Dual Trend benchmark performed exceptionally well despite its simplicity. Dynamic model-selection layers did not reliably improve on a robust fixed approach.</w:t>
      </w:r>
    </w:p>
    <w:p w14:paraId="578C4C51" w14:textId="77777777" w:rsidR="004063E1" w:rsidRDefault="00000000">
      <w:pPr>
        <w:pStyle w:val="ListBullet"/>
        <w:spacing w:after="50" w:line="240" w:lineRule="auto"/>
      </w:pPr>
      <w:r>
        <w:t>Complexity had to earn its place. ERC, volatility targeting, generic reciprocal shorting, dynamic strategy selection and pullback pyramiding did not justify inclusion in the frozen architecture.</w:t>
      </w:r>
    </w:p>
    <w:p w14:paraId="3C58930C" w14:textId="77777777" w:rsidR="004063E1" w:rsidRDefault="00000000">
      <w:pPr>
        <w:pStyle w:val="ListBullet"/>
        <w:spacing w:after="50" w:line="240" w:lineRule="auto"/>
      </w:pPr>
      <w:r>
        <w:t>Equity Early-Reversal pacing showed modest incremental value. A fixed 2-step 50/50 equity entry slightly improved out-of-sample results versus immediate entry and was preferred to a more complex walk-forward schedule selector. The effect is treated as a small implementation refinement rather than a major source of alpha.</w:t>
      </w:r>
    </w:p>
    <w:p w14:paraId="2D0E021C" w14:textId="77777777" w:rsidR="004063E1" w:rsidRDefault="00000000">
      <w:pPr>
        <w:pStyle w:val="ListBullet"/>
        <w:spacing w:after="50" w:line="240" w:lineRule="auto"/>
      </w:pPr>
      <w:r>
        <w:t>Pullback accumulation was rejected. Adding 10–50% exposure during SuperbCommand pullbacks generally reduced Sharpe and worsened stress-period outcomes. The frozen rule therefore maintains 1.00x exposure during pullbacks rather than adding exposure.</w:t>
      </w:r>
    </w:p>
    <w:p w14:paraId="0D73C258" w14:textId="77777777" w:rsidR="004063E1" w:rsidRDefault="00000000">
      <w:pPr>
        <w:pStyle w:val="ListBullet"/>
        <w:spacing w:after="50" w:line="240" w:lineRule="auto"/>
      </w:pPr>
      <w:r>
        <w:t>Portfolio construction should remain hierarchical and simple. Hierarchical inverse-volatility weighting is applied both across asset classes and within each asset class, limiting representation-count bias while retaining transparent risk diversification.</w:t>
      </w:r>
    </w:p>
    <w:p w14:paraId="2CF3591A" w14:textId="77777777" w:rsidR="004063E1" w:rsidRDefault="00000000">
      <w:pPr>
        <w:pStyle w:val="ListBullet"/>
        <w:spacing w:after="50" w:line="240" w:lineRule="auto"/>
      </w:pPr>
      <w:r>
        <w:t>The strategy is not execution-fragile. Turnover is modest, realistic transaction costs produced manageable degradation, and even a one-week execution delay did not impair historical performance. The delayed result is evidence of timing robustness, not a reason to optimise a deliberate delay.</w:t>
      </w:r>
    </w:p>
    <w:p w14:paraId="0EADF797" w14:textId="77777777" w:rsidR="004063E1" w:rsidRDefault="00000000">
      <w:pPr>
        <w:pStyle w:val="Heading1"/>
        <w:spacing w:after="50" w:line="240" w:lineRule="auto"/>
      </w:pPr>
      <w:r>
        <w:t>4. Frozen Strategy Performance Snapshot</w:t>
      </w:r>
    </w:p>
    <w:p w14:paraId="430017B9" w14:textId="54E0BDE7" w:rsidR="004063E1" w:rsidRDefault="00000000">
      <w:pPr>
        <w:spacing w:after="50" w:line="240" w:lineRule="auto"/>
      </w:pPr>
      <w:r>
        <w:t xml:space="preserve">Across the 1,094-week </w:t>
      </w:r>
      <w:r w:rsidR="00430043">
        <w:t>2005-2025</w:t>
      </w:r>
      <w:r>
        <w:t xml:space="preserve"> frozen research sample, the final SuperbCommand architecture produced approximately 4.11% annualised return, 3.38% annualised volatility, a 1.21 Sharpe ratio, 1.65 Sortino ratio and a maximum drawdown of approximately -6.05%. After mechanically extending the already-frozen architecture through the first 36 weeks of 2026, the resulting 1,130-week full historical series produced approximately 4.24% annualised return, 3.36% annualised volatility, a 1.25 Sharpe ratio, 1.70 Sortino ratio and a maximum drawdown of approximately -6.05%. The 2026 observations are seen data and were not used to re-optimise the strategy. These figures are historical research results, not forecasts.</w:t>
      </w:r>
    </w:p>
    <w:p w14:paraId="759AF310" w14:textId="77777777" w:rsidR="004063E1" w:rsidRDefault="00000000">
      <w:pPr>
        <w:pStyle w:val="Heading1"/>
        <w:spacing w:after="50" w:line="240" w:lineRule="auto"/>
      </w:pPr>
      <w:r>
        <w:t>5. Execution Realism</w:t>
      </w:r>
    </w:p>
    <w:p w14:paraId="546BAB5E" w14:textId="77777777" w:rsidR="004063E1" w:rsidRDefault="00000000">
      <w:pPr>
        <w:spacing w:after="50" w:line="240" w:lineRule="auto"/>
      </w:pPr>
      <w:r>
        <w:t>Transaction costs: At a base assumption of 5 bps one-way, the 1,130-week full-sample annualised return declined from approximately 4.24% gross to 4.10% net, while Sharpe declined from 1.25 to 1.21. Even under a punitive 20 bps one-way stress assumption, annualised return remained approximately 3.67%, with Sharpe approximately 1.09.</w:t>
      </w:r>
    </w:p>
    <w:p w14:paraId="419A070C" w14:textId="77777777" w:rsidR="004063E1" w:rsidRDefault="00000000">
      <w:pPr>
        <w:spacing w:after="50" w:line="240" w:lineRule="auto"/>
      </w:pPr>
      <w:r>
        <w:t>Turnover: Cumulative one-way turnover was modest across the multi-decade sample. Commodities generated the highest aggregate turnover, followed by equities and rates, while crypto generated the lowest. The architecture is therefore not dependent on high-frequency trading or unrealistically cheap execution.</w:t>
      </w:r>
    </w:p>
    <w:p w14:paraId="4D0D1F4A" w14:textId="77777777" w:rsidR="004063E1" w:rsidRDefault="00000000">
      <w:pPr>
        <w:spacing w:after="50" w:line="240" w:lineRule="auto"/>
      </w:pPr>
      <w:r>
        <w:lastRenderedPageBreak/>
        <w:t>Timing stress: Delaying execution by one full week did not deteriorate historical performance. The delayed implementation produced a gross Sharpe of approximately 1.31 and approximately 1.27 after 5 bps costs, compared with 1.25 gross and 1.21 after 5 bps under canonical timing. This should not be interpreted as evidence that trades should deliberately be delayed; rather, it indicates that the historical edge was not dependent on precise signal-week execution.</w:t>
      </w:r>
    </w:p>
    <w:p w14:paraId="0B76421D" w14:textId="77777777" w:rsidR="004063E1" w:rsidRDefault="00000000">
      <w:pPr>
        <w:pStyle w:val="Heading1"/>
        <w:spacing w:after="50" w:line="240" w:lineRule="auto"/>
      </w:pPr>
      <w:r>
        <w:t>6. 2026 Final Holdout</w:t>
      </w:r>
    </w:p>
    <w:p w14:paraId="52D2F90C" w14:textId="77777777" w:rsidR="004063E1" w:rsidRDefault="00000000">
      <w:pPr>
        <w:spacing w:after="50" w:line="240" w:lineRule="auto"/>
      </w:pPr>
      <w:r>
        <w:t>The 2026 holdout was opened only after the investment architecture had been frozen. Across the first 36 weekly realised observations, the original holdout evaluation recorded approximately 9.0% total return, 4.37% annualised volatility, a 2.87 Sharpe ratio and maximum drawdown of approximately -1.99%. Importantly, the frozen equity 2-step Early-Reversal refinement was not exercised: across 108 equity observations for SPY, EFA and EEM there were zero Early-Reversal starts, active weeks or ends. Consequently, immediate-entry and frozen 2-step architectures produced identical holdout return paths. The holdout therefore provides evidence on the broader frozen strategy, but no independent 2026 evidence for or against the 2-step Early-Reversal modification. Given the short holdout period, these results should be interpreted cautiously.</w:t>
      </w:r>
    </w:p>
    <w:p w14:paraId="02A92924" w14:textId="77777777" w:rsidR="004063E1" w:rsidRDefault="00000000">
      <w:pPr>
        <w:pStyle w:val="Heading1"/>
        <w:spacing w:after="50" w:line="240" w:lineRule="auto"/>
      </w:pPr>
      <w:r>
        <w:t>7. Research Governance and Next Version</w:t>
      </w:r>
    </w:p>
    <w:p w14:paraId="2E9BED25" w14:textId="77777777" w:rsidR="004063E1" w:rsidRDefault="00000000">
      <w:pPr>
        <w:spacing w:after="50" w:line="240" w:lineRule="auto"/>
      </w:pPr>
      <w:r>
        <w:t>Frozen v1.0 should no longer be altered using the now-seen 2026 data. Notebook 20 completed the transaction-cost and execution-realism review without changing investment rules. Future notebooks may address production signal reconciliation, shadow trading, monitoring, order generation, risk controls and operational resilience. Any change to signal parameters, universe, leverage, shorting, sizing or portfolio construction should be treated as a new research version with a genuinely future holdout.</w:t>
      </w:r>
    </w:p>
    <w:p w14:paraId="2EE57E95" w14:textId="77777777" w:rsidR="004063E1" w:rsidRDefault="00000000">
      <w:pPr>
        <w:spacing w:after="50" w:line="240" w:lineRule="auto"/>
      </w:pPr>
      <w:r>
        <w:t>The principal V2 research hypothesis is a Dual Trend / SuperbCommand hybrid: Dual Trend would provide the primary directional and exposure backbone, while SuperbCommand would be tested as a conditional confirmation, veto or moderation layer for entries, exits, profit-taking and potentially short exposure. The first step should be conditional-state attribution rather than immediate rule optimisation.</w:t>
      </w:r>
    </w:p>
    <w:p w14:paraId="3535F851" w14:textId="77777777" w:rsidR="004063E1" w:rsidRDefault="00000000">
      <w:pPr>
        <w:pStyle w:val="Heading1"/>
        <w:spacing w:after="50" w:line="240" w:lineRule="auto"/>
      </w:pPr>
      <w:r>
        <w:t>8. Bottom Line</w:t>
      </w:r>
    </w:p>
    <w:p w14:paraId="7283FB43" w14:textId="77777777" w:rsidR="004063E1" w:rsidRDefault="00000000">
      <w:pPr>
        <w:spacing w:after="50" w:line="240" w:lineRule="auto"/>
      </w:pPr>
      <w:r>
        <w:t>The research supports freezing a simple, unlevered, weekly long/cash multi-asset strategy in which SuperbCommand supplies regime exposure and hierarchical inverse-volatility weighting provides diversification. The reconciled evidence indicates a historically attractive risk-adjusted profile rather than a high-return standalone trading system: approximately 1.21 Sharpe in the original 1,094-week frozen research sample and 1.25 gross across the mechanically extended 1,130-week series. The strongest lessons were as much about what not to add as what to retain: simplicity, low turnover, limited degrees of freedom, execution robustness and explicit holdout governance materially strengthened the final specification.</w:t>
      </w:r>
    </w:p>
    <w:sectPr w:rsidR="004063E1" w:rsidSect="00034616">
      <w:footerReference w:type="default" r:id="rId8"/>
      <w:pgSz w:w="12240" w:h="15840"/>
      <w:pgMar w:top="792"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38D27" w14:textId="77777777" w:rsidR="003D6244" w:rsidRDefault="003D6244">
      <w:pPr>
        <w:spacing w:after="0" w:line="240" w:lineRule="auto"/>
      </w:pPr>
      <w:r>
        <w:separator/>
      </w:r>
    </w:p>
  </w:endnote>
  <w:endnote w:type="continuationSeparator" w:id="0">
    <w:p w14:paraId="414FE602" w14:textId="77777777" w:rsidR="003D6244" w:rsidRDefault="003D6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500E0" w14:textId="77777777" w:rsidR="004063E1" w:rsidRDefault="00000000">
    <w:pPr>
      <w:pStyle w:val="Footer"/>
      <w:jc w:val="center"/>
    </w:pPr>
    <w:r>
      <w:rPr>
        <w:sz w:val="16"/>
      </w:rPr>
      <w:t>SuperbCommand Multi-Asset CTA — Research Outcomes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85240" w14:textId="77777777" w:rsidR="003D6244" w:rsidRDefault="003D6244">
      <w:pPr>
        <w:spacing w:after="0" w:line="240" w:lineRule="auto"/>
      </w:pPr>
      <w:r>
        <w:separator/>
      </w:r>
    </w:p>
  </w:footnote>
  <w:footnote w:type="continuationSeparator" w:id="0">
    <w:p w14:paraId="6089B91F" w14:textId="77777777" w:rsidR="003D6244" w:rsidRDefault="003D62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682488">
    <w:abstractNumId w:val="8"/>
  </w:num>
  <w:num w:numId="2" w16cid:durableId="1552767259">
    <w:abstractNumId w:val="6"/>
  </w:num>
  <w:num w:numId="3" w16cid:durableId="63187159">
    <w:abstractNumId w:val="5"/>
  </w:num>
  <w:num w:numId="4" w16cid:durableId="952984249">
    <w:abstractNumId w:val="4"/>
  </w:num>
  <w:num w:numId="5" w16cid:durableId="254873070">
    <w:abstractNumId w:val="7"/>
  </w:num>
  <w:num w:numId="6" w16cid:durableId="836725970">
    <w:abstractNumId w:val="3"/>
  </w:num>
  <w:num w:numId="7" w16cid:durableId="1084109237">
    <w:abstractNumId w:val="2"/>
  </w:num>
  <w:num w:numId="8" w16cid:durableId="421071425">
    <w:abstractNumId w:val="1"/>
  </w:num>
  <w:num w:numId="9" w16cid:durableId="1390416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6C7"/>
    <w:rsid w:val="00034616"/>
    <w:rsid w:val="0006063C"/>
    <w:rsid w:val="0015074B"/>
    <w:rsid w:val="0029639D"/>
    <w:rsid w:val="00326F90"/>
    <w:rsid w:val="003D6244"/>
    <w:rsid w:val="004063E1"/>
    <w:rsid w:val="00430043"/>
    <w:rsid w:val="00AA1D8D"/>
    <w:rsid w:val="00B47730"/>
    <w:rsid w:val="00CB0664"/>
    <w:rsid w:val="00E81A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8F515"/>
  <w14:defaultImageDpi w14:val="300"/>
  <w15:docId w15:val="{7B59D315-636A-49DC-9B2A-7CCD5E6F1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1084</Words>
  <Characters>6180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Jeremy Worlock</cp:lastModifiedBy>
  <cp:revision>3</cp:revision>
  <dcterms:created xsi:type="dcterms:W3CDTF">2013-12-23T23:15:00Z</dcterms:created>
  <dcterms:modified xsi:type="dcterms:W3CDTF">2026-09-06T17:31:00Z</dcterms:modified>
  <cp:category/>
</cp:coreProperties>
</file>