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E5B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U.S. Equity Sector Rotation Framework</w:t>
      </w:r>
    </w:p>
    <w:p w14:paraId="7C25C3BE" w14:textId="77777777" w:rsidR="00A27CC6" w:rsidRPr="00A27CC6" w:rsidRDefault="00A27CC6" w:rsidP="00A27CC6">
      <w:pPr>
        <w:spacing w:before="100" w:beforeAutospacing="1" w:after="100" w:afterAutospacing="1" w:line="240" w:lineRule="auto"/>
        <w:outlineLvl w:val="1"/>
        <w:rPr>
          <w:rFonts w:ascii="Calibri" w:eastAsia="Times New Roman" w:hAnsi="Calibri" w:cs="Calibri"/>
          <w:b/>
          <w:bCs/>
          <w:kern w:val="0"/>
          <w:sz w:val="28"/>
          <w:szCs w:val="28"/>
          <w:lang w:eastAsia="en-GB"/>
          <w14:ligatures w14:val="none"/>
        </w:rPr>
      </w:pPr>
      <w:r w:rsidRPr="00A27CC6">
        <w:rPr>
          <w:rFonts w:ascii="Calibri" w:eastAsia="Times New Roman" w:hAnsi="Calibri" w:cs="Calibri"/>
          <w:b/>
          <w:bCs/>
          <w:kern w:val="0"/>
          <w:sz w:val="28"/>
          <w:szCs w:val="28"/>
          <w:lang w:eastAsia="en-GB"/>
          <w14:ligatures w14:val="none"/>
        </w:rPr>
        <w:t>Research &amp; Implementation Handbook</w:t>
      </w:r>
    </w:p>
    <w:p w14:paraId="4FD3529F"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1. Project objective</w:t>
      </w:r>
    </w:p>
    <w:p w14:paraId="79158EA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Build a systematic </w:t>
      </w:r>
      <w:r w:rsidRPr="00A27CC6">
        <w:rPr>
          <w:rFonts w:ascii="Calibri" w:eastAsia="Times New Roman" w:hAnsi="Calibri" w:cs="Calibri"/>
          <w:b/>
          <w:bCs/>
          <w:kern w:val="0"/>
          <w:sz w:val="20"/>
          <w:szCs w:val="20"/>
          <w:lang w:eastAsia="en-GB"/>
          <w14:ligatures w14:val="none"/>
        </w:rPr>
        <w:t>long-only U.S. equity sector-rotation strategy</w:t>
      </w:r>
      <w:r w:rsidRPr="00A27CC6">
        <w:rPr>
          <w:rFonts w:ascii="Calibri" w:eastAsia="Times New Roman" w:hAnsi="Calibri" w:cs="Calibri"/>
          <w:kern w:val="0"/>
          <w:sz w:val="20"/>
          <w:szCs w:val="20"/>
          <w:lang w:eastAsia="en-GB"/>
          <w14:ligatures w14:val="none"/>
        </w:rPr>
        <w:t xml:space="preserve"> that converts a proprietary price/trend indicator into dynamic </w:t>
      </w:r>
      <w:r w:rsidRPr="00A27CC6">
        <w:rPr>
          <w:rFonts w:ascii="Calibri" w:eastAsia="Times New Roman" w:hAnsi="Calibri" w:cs="Calibri"/>
          <w:b/>
          <w:bCs/>
          <w:kern w:val="0"/>
          <w:sz w:val="20"/>
          <w:szCs w:val="20"/>
          <w:lang w:eastAsia="en-GB"/>
          <w14:ligatures w14:val="none"/>
        </w:rPr>
        <w:t>active sector weights</w:t>
      </w:r>
      <w:r w:rsidRPr="00A27CC6">
        <w:rPr>
          <w:rFonts w:ascii="Calibri" w:eastAsia="Times New Roman" w:hAnsi="Calibri" w:cs="Calibri"/>
          <w:kern w:val="0"/>
          <w:sz w:val="20"/>
          <w:szCs w:val="20"/>
          <w:lang w:eastAsia="en-GB"/>
          <w14:ligatures w14:val="none"/>
        </w:rPr>
        <w:t>.</w:t>
      </w:r>
    </w:p>
    <w:p w14:paraId="4B0F78C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central research question is:</w:t>
      </w:r>
    </w:p>
    <w:p w14:paraId="2B998D4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Can state-dependent trend signals improve U.S. equity sector allocation relative to the S&amp;P 500 and a conventional time-series momentum sector-rotation strategy?</w:t>
      </w:r>
    </w:p>
    <w:p w14:paraId="3CCD1FC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strategy should remain predominantly/fully invested in U.S. equities. It should </w:t>
      </w:r>
      <w:r w:rsidRPr="00A27CC6">
        <w:rPr>
          <w:rFonts w:ascii="Calibri" w:eastAsia="Times New Roman" w:hAnsi="Calibri" w:cs="Calibri"/>
          <w:b/>
          <w:bCs/>
          <w:kern w:val="0"/>
          <w:sz w:val="20"/>
          <w:szCs w:val="20"/>
          <w:lang w:eastAsia="en-GB"/>
          <w14:ligatures w14:val="none"/>
        </w:rPr>
        <w:t>not require outright short positions</w:t>
      </w:r>
      <w:r w:rsidRPr="00A27CC6">
        <w:rPr>
          <w:rFonts w:ascii="Calibri" w:eastAsia="Times New Roman" w:hAnsi="Calibri" w:cs="Calibri"/>
          <w:kern w:val="0"/>
          <w:sz w:val="20"/>
          <w:szCs w:val="20"/>
          <w:lang w:eastAsia="en-GB"/>
          <w14:ligatures w14:val="none"/>
        </w:rPr>
        <w:t>.</w:t>
      </w:r>
    </w:p>
    <w:p w14:paraId="2449DAD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Instead, bearish signals create </w:t>
      </w:r>
      <w:r w:rsidRPr="00A27CC6">
        <w:rPr>
          <w:rFonts w:ascii="Calibri" w:eastAsia="Times New Roman" w:hAnsi="Calibri" w:cs="Calibri"/>
          <w:b/>
          <w:bCs/>
          <w:kern w:val="0"/>
          <w:sz w:val="20"/>
          <w:szCs w:val="20"/>
          <w:lang w:eastAsia="en-GB"/>
          <w14:ligatures w14:val="none"/>
        </w:rPr>
        <w:t>relative underweights</w:t>
      </w:r>
      <w:r w:rsidRPr="00A27CC6">
        <w:rPr>
          <w:rFonts w:ascii="Calibri" w:eastAsia="Times New Roman" w:hAnsi="Calibri" w:cs="Calibri"/>
          <w:kern w:val="0"/>
          <w:sz w:val="20"/>
          <w:szCs w:val="20"/>
          <w:lang w:eastAsia="en-GB"/>
          <w14:ligatures w14:val="none"/>
        </w:rPr>
        <w:t xml:space="preserve">, while attractive signals create </w:t>
      </w:r>
      <w:r w:rsidRPr="00A27CC6">
        <w:rPr>
          <w:rFonts w:ascii="Calibri" w:eastAsia="Times New Roman" w:hAnsi="Calibri" w:cs="Calibri"/>
          <w:b/>
          <w:bCs/>
          <w:kern w:val="0"/>
          <w:sz w:val="20"/>
          <w:szCs w:val="20"/>
          <w:lang w:eastAsia="en-GB"/>
          <w14:ligatures w14:val="none"/>
        </w:rPr>
        <w:t>relative overweights</w:t>
      </w:r>
      <w:r w:rsidRPr="00A27CC6">
        <w:rPr>
          <w:rFonts w:ascii="Calibri" w:eastAsia="Times New Roman" w:hAnsi="Calibri" w:cs="Calibri"/>
          <w:kern w:val="0"/>
          <w:sz w:val="20"/>
          <w:szCs w:val="20"/>
          <w:lang w:eastAsia="en-GB"/>
          <w14:ligatures w14:val="none"/>
        </w:rPr>
        <w:t>.</w:t>
      </w:r>
    </w:p>
    <w:p w14:paraId="405DE62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project should be implemented initially in </w:t>
      </w:r>
      <w:r w:rsidRPr="00A27CC6">
        <w:rPr>
          <w:rFonts w:ascii="Calibri" w:eastAsia="Times New Roman" w:hAnsi="Calibri" w:cs="Calibri"/>
          <w:b/>
          <w:bCs/>
          <w:kern w:val="0"/>
          <w:sz w:val="20"/>
          <w:szCs w:val="20"/>
          <w:lang w:eastAsia="en-GB"/>
          <w14:ligatures w14:val="none"/>
        </w:rPr>
        <w:t xml:space="preserve">Google </w:t>
      </w:r>
      <w:proofErr w:type="spellStart"/>
      <w:r w:rsidRPr="00A27CC6">
        <w:rPr>
          <w:rFonts w:ascii="Calibri" w:eastAsia="Times New Roman" w:hAnsi="Calibri" w:cs="Calibri"/>
          <w:b/>
          <w:bCs/>
          <w:kern w:val="0"/>
          <w:sz w:val="20"/>
          <w:szCs w:val="20"/>
          <w:lang w:eastAsia="en-GB"/>
          <w14:ligatures w14:val="none"/>
        </w:rPr>
        <w:t>Colab</w:t>
      </w:r>
      <w:proofErr w:type="spellEnd"/>
      <w:r w:rsidRPr="00A27CC6">
        <w:rPr>
          <w:rFonts w:ascii="Calibri" w:eastAsia="Times New Roman" w:hAnsi="Calibri" w:cs="Calibri"/>
          <w:kern w:val="0"/>
          <w:sz w:val="20"/>
          <w:szCs w:val="20"/>
          <w:lang w:eastAsia="en-GB"/>
          <w14:ligatures w14:val="none"/>
        </w:rPr>
        <w:t>, where portfolio states, weights, signals and performance attribution can be inspected easily.</w:t>
      </w:r>
    </w:p>
    <w:p w14:paraId="6D53B49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A27CC6">
        <w:rPr>
          <w:rFonts w:ascii="Calibri" w:eastAsia="Times New Roman" w:hAnsi="Calibri" w:cs="Calibri"/>
          <w:kern w:val="0"/>
          <w:sz w:val="20"/>
          <w:szCs w:val="20"/>
          <w:lang w:eastAsia="en-GB"/>
          <w14:ligatures w14:val="none"/>
        </w:rPr>
        <w:t>QuantConnect</w:t>
      </w:r>
      <w:proofErr w:type="spellEnd"/>
      <w:r w:rsidRPr="00A27CC6">
        <w:rPr>
          <w:rFonts w:ascii="Calibri" w:eastAsia="Times New Roman" w:hAnsi="Calibri" w:cs="Calibri"/>
          <w:kern w:val="0"/>
          <w:sz w:val="20"/>
          <w:szCs w:val="20"/>
          <w:lang w:eastAsia="en-GB"/>
          <w14:ligatures w14:val="none"/>
        </w:rPr>
        <w:t>/LEAN can subsequently be used as an implementation validation exercise if desired.</w:t>
      </w:r>
    </w:p>
    <w:p w14:paraId="3F44152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283DB56">
          <v:rect id="_x0000_i2063" style="width:0;height:1.5pt" o:hralign="center" o:hrstd="t" o:hr="t" fillcolor="#a0a0a0" stroked="f"/>
        </w:pict>
      </w:r>
    </w:p>
    <w:p w14:paraId="31ECE67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 Motivation</w:t>
      </w:r>
    </w:p>
    <w:p w14:paraId="685246E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conceptual inspiration is traditional </w:t>
      </w:r>
      <w:r w:rsidRPr="00A27CC6">
        <w:rPr>
          <w:rFonts w:ascii="Calibri" w:eastAsia="Times New Roman" w:hAnsi="Calibri" w:cs="Calibri"/>
          <w:b/>
          <w:bCs/>
          <w:kern w:val="0"/>
          <w:sz w:val="20"/>
          <w:szCs w:val="20"/>
          <w:lang w:eastAsia="en-GB"/>
          <w14:ligatures w14:val="none"/>
        </w:rPr>
        <w:t>business-cycle sector rotation</w:t>
      </w:r>
      <w:r w:rsidRPr="00A27CC6">
        <w:rPr>
          <w:rFonts w:ascii="Calibri" w:eastAsia="Times New Roman" w:hAnsi="Calibri" w:cs="Calibri"/>
          <w:kern w:val="0"/>
          <w:sz w:val="20"/>
          <w:szCs w:val="20"/>
          <w:lang w:eastAsia="en-GB"/>
          <w14:ligatures w14:val="none"/>
        </w:rPr>
        <w:t>.</w:t>
      </w:r>
    </w:p>
    <w:p w14:paraId="37763C4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Different equity sectors tend to perform differently through economic expansions, slowdowns, contractions and recoveries. Traditional approaches attempt to identify the economic regime using variables such as:</w:t>
      </w:r>
    </w:p>
    <w:p w14:paraId="4DF2F9AF"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GDP/growth; </w:t>
      </w:r>
    </w:p>
    <w:p w14:paraId="7D618783"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PMI/business surveys; </w:t>
      </w:r>
    </w:p>
    <w:p w14:paraId="21989DBC"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inflation; </w:t>
      </w:r>
    </w:p>
    <w:p w14:paraId="76E7F38F"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interest rates; </w:t>
      </w:r>
    </w:p>
    <w:p w14:paraId="3B77B2FB"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earnings; </w:t>
      </w:r>
    </w:p>
    <w:p w14:paraId="7A1A0EBD"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valuation; </w:t>
      </w:r>
    </w:p>
    <w:p w14:paraId="54B45468"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macroeconomic leading indicators; </w:t>
      </w:r>
    </w:p>
    <w:p w14:paraId="2516FB6A" w14:textId="77777777" w:rsidR="00A27CC6" w:rsidRPr="00A27CC6" w:rsidRDefault="00A27CC6">
      <w:pPr>
        <w:numPr>
          <w:ilvl w:val="0"/>
          <w:numId w:val="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fundamental factors. </w:t>
      </w:r>
    </w:p>
    <w:p w14:paraId="7DB7DEF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framework deliberately takes a different approach.</w:t>
      </w:r>
    </w:p>
    <w:p w14:paraId="11F23C59"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Do not explicitly model the business cycle.</w:t>
      </w:r>
    </w:p>
    <w:p w14:paraId="1501CAD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Instead, allow </w:t>
      </w:r>
      <w:r w:rsidRPr="00A27CC6">
        <w:rPr>
          <w:rFonts w:ascii="Calibri" w:eastAsia="Times New Roman" w:hAnsi="Calibri" w:cs="Calibri"/>
          <w:b/>
          <w:bCs/>
          <w:kern w:val="0"/>
          <w:sz w:val="20"/>
          <w:szCs w:val="20"/>
          <w:lang w:eastAsia="en-GB"/>
          <w14:ligatures w14:val="none"/>
        </w:rPr>
        <w:t>sector prices themselves to reveal their changing trend states</w:t>
      </w:r>
      <w:r w:rsidRPr="00A27CC6">
        <w:rPr>
          <w:rFonts w:ascii="Calibri" w:eastAsia="Times New Roman" w:hAnsi="Calibri" w:cs="Calibri"/>
          <w:kern w:val="0"/>
          <w:sz w:val="20"/>
          <w:szCs w:val="20"/>
          <w:lang w:eastAsia="en-GB"/>
          <w14:ligatures w14:val="none"/>
        </w:rPr>
        <w:t>.</w:t>
      </w:r>
    </w:p>
    <w:p w14:paraId="00D08AC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hypothesis is that sector prices aggregate changing expectations about economic conditions. Consequently, transitions between sectors may become visible in their respective price trends before or during changes in the economic cycle.</w:t>
      </w:r>
    </w:p>
    <w:p w14:paraId="5B67DB5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The framework therefore turns qualitative sector-rotation theory into an explicit systematic allocation protocol:</w:t>
      </w:r>
    </w:p>
    <w:p w14:paraId="3A57630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m:rPr>
              <m:nor/>
            </m:rPr>
            <w:rPr>
              <w:rFonts w:ascii="Calibri" w:eastAsia="Times New Roman" w:hAnsi="Calibri" w:cs="Calibri"/>
              <w:kern w:val="0"/>
              <w:sz w:val="20"/>
              <w:szCs w:val="20"/>
              <w:lang w:eastAsia="en-GB"/>
              <w14:ligatures w14:val="none"/>
            </w:rPr>
            <m:t>Sector prices</m:t>
          </m:r>
          <m:r>
            <w:rPr>
              <w:rFonts w:ascii="Cambria Math" w:eastAsia="Times New Roman" w:hAnsi="Cambria Math" w:cs="Calibri"/>
              <w:kern w:val="0"/>
              <w:sz w:val="20"/>
              <w:szCs w:val="20"/>
              <w:lang w:eastAsia="en-GB"/>
              <w14:ligatures w14:val="none"/>
            </w:rPr>
            <m:t>→</m:t>
          </m:r>
          <m:r>
            <m:rPr>
              <m:nor/>
            </m:rPr>
            <w:rPr>
              <w:rFonts w:ascii="Calibri" w:eastAsia="Times New Roman" w:hAnsi="Calibri" w:cs="Calibri"/>
              <w:kern w:val="0"/>
              <w:sz w:val="20"/>
              <w:szCs w:val="20"/>
              <w:lang w:eastAsia="en-GB"/>
              <w14:ligatures w14:val="none"/>
            </w:rPr>
            <m:t>trend states</m:t>
          </m:r>
          <m:r>
            <w:rPr>
              <w:rFonts w:ascii="Cambria Math" w:eastAsia="Times New Roman" w:hAnsi="Cambria Math" w:cs="Calibri"/>
              <w:kern w:val="0"/>
              <w:sz w:val="20"/>
              <w:szCs w:val="20"/>
              <w:lang w:eastAsia="en-GB"/>
              <w14:ligatures w14:val="none"/>
            </w:rPr>
            <m:t>→</m:t>
          </m:r>
          <m:r>
            <m:rPr>
              <m:nor/>
            </m:rPr>
            <w:rPr>
              <w:rFonts w:ascii="Calibri" w:eastAsia="Times New Roman" w:hAnsi="Calibri" w:cs="Calibri"/>
              <w:kern w:val="0"/>
              <w:sz w:val="20"/>
              <w:szCs w:val="20"/>
              <w:lang w:eastAsia="en-GB"/>
              <w14:ligatures w14:val="none"/>
            </w:rPr>
            <m:t>active weights</m:t>
          </m:r>
          <m:r>
            <w:rPr>
              <w:rFonts w:ascii="Cambria Math" w:eastAsia="Times New Roman" w:hAnsi="Cambria Math" w:cs="Calibri"/>
              <w:kern w:val="0"/>
              <w:sz w:val="20"/>
              <w:szCs w:val="20"/>
              <w:lang w:eastAsia="en-GB"/>
              <w14:ligatures w14:val="none"/>
            </w:rPr>
            <m:t>→</m:t>
          </m:r>
          <m:r>
            <m:rPr>
              <m:nor/>
            </m:rPr>
            <w:rPr>
              <w:rFonts w:ascii="Calibri" w:eastAsia="Times New Roman" w:hAnsi="Calibri" w:cs="Calibri"/>
              <w:kern w:val="0"/>
              <w:sz w:val="20"/>
              <w:szCs w:val="20"/>
              <w:lang w:eastAsia="en-GB"/>
              <w14:ligatures w14:val="none"/>
            </w:rPr>
            <m:t>portfolio returns</m:t>
          </m:r>
          <m:r>
            <w:rPr>
              <w:rFonts w:ascii="Calibri" w:eastAsia="Times New Roman" w:hAnsi="Calibri" w:cs="Calibri"/>
              <w:kern w:val="0"/>
              <w:sz w:val="20"/>
              <w:szCs w:val="20"/>
              <w:lang w:eastAsia="en-GB"/>
              <w14:ligatures w14:val="none"/>
            </w:rPr>
            <w:br/>
          </m:r>
        </m:oMath>
      </m:oMathPara>
    </w:p>
    <w:p w14:paraId="457F5D4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Business-cycle interpretation should primarily occur </w:t>
      </w:r>
      <w:r w:rsidRPr="00A27CC6">
        <w:rPr>
          <w:rFonts w:ascii="Calibri" w:eastAsia="Times New Roman" w:hAnsi="Calibri" w:cs="Calibri"/>
          <w:b/>
          <w:bCs/>
          <w:kern w:val="0"/>
          <w:sz w:val="20"/>
          <w:szCs w:val="20"/>
          <w:lang w:eastAsia="en-GB"/>
          <w14:ligatures w14:val="none"/>
        </w:rPr>
        <w:t>afterward as performance analysis</w:t>
      </w:r>
      <w:r w:rsidRPr="00A27CC6">
        <w:rPr>
          <w:rFonts w:ascii="Calibri" w:eastAsia="Times New Roman" w:hAnsi="Calibri" w:cs="Calibri"/>
          <w:kern w:val="0"/>
          <w:sz w:val="20"/>
          <w:szCs w:val="20"/>
          <w:lang w:eastAsia="en-GB"/>
          <w14:ligatures w14:val="none"/>
        </w:rPr>
        <w:t>, rather than being an input into the trading algorithm.</w:t>
      </w:r>
    </w:p>
    <w:p w14:paraId="422A8D8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07823BFA">
          <v:rect id="_x0000_i2064" style="width:0;height:1.5pt" o:hralign="center" o:hrstd="t" o:hr="t" fillcolor="#a0a0a0" stroked="f"/>
        </w:pict>
      </w:r>
    </w:p>
    <w:p w14:paraId="7583CC2E"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 Keep the initial research deliberately simple</w:t>
      </w:r>
    </w:p>
    <w:p w14:paraId="5C3CE8A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 major design constraint is </w:t>
      </w:r>
      <w:r w:rsidRPr="00A27CC6">
        <w:rPr>
          <w:rFonts w:ascii="Calibri" w:eastAsia="Times New Roman" w:hAnsi="Calibri" w:cs="Calibri"/>
          <w:b/>
          <w:bCs/>
          <w:kern w:val="0"/>
          <w:sz w:val="20"/>
          <w:szCs w:val="20"/>
          <w:lang w:eastAsia="en-GB"/>
          <w14:ligatures w14:val="none"/>
        </w:rPr>
        <w:t>minimizing complexity and implementation time</w:t>
      </w:r>
      <w:r w:rsidRPr="00A27CC6">
        <w:rPr>
          <w:rFonts w:ascii="Calibri" w:eastAsia="Times New Roman" w:hAnsi="Calibri" w:cs="Calibri"/>
          <w:kern w:val="0"/>
          <w:sz w:val="20"/>
          <w:szCs w:val="20"/>
          <w:lang w:eastAsia="en-GB"/>
          <w14:ligatures w14:val="none"/>
        </w:rPr>
        <w:t>.</w:t>
      </w:r>
    </w:p>
    <w:p w14:paraId="27B58CA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initial project should therefore avoid:</w:t>
      </w:r>
    </w:p>
    <w:p w14:paraId="7AE1E1E5"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machine learning; </w:t>
      </w:r>
    </w:p>
    <w:p w14:paraId="46A3F85D"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explicit macroeconomic regime classification; </w:t>
      </w:r>
    </w:p>
    <w:p w14:paraId="1B7BF076"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fundamental-factor models; </w:t>
      </w:r>
    </w:p>
    <w:p w14:paraId="7CC4AF30"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covariance optimization; </w:t>
      </w:r>
    </w:p>
    <w:p w14:paraId="2081B9DA"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maximum-Sharpe optimization; </w:t>
      </w:r>
    </w:p>
    <w:p w14:paraId="2BC3ABF3"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individual-stock selection; </w:t>
      </w:r>
    </w:p>
    <w:p w14:paraId="0CA85542"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futures; </w:t>
      </w:r>
    </w:p>
    <w:p w14:paraId="30DB7F7F"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outright short positions; </w:t>
      </w:r>
    </w:p>
    <w:p w14:paraId="6FB6FFA7"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leverage; </w:t>
      </w:r>
    </w:p>
    <w:p w14:paraId="5A7AA5AC"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complicated transaction/collateral models; </w:t>
      </w:r>
    </w:p>
    <w:p w14:paraId="2E32A901" w14:textId="77777777" w:rsidR="00A27CC6" w:rsidRPr="00A27CC6" w:rsidRDefault="00A27CC6">
      <w:pPr>
        <w:numPr>
          <w:ilvl w:val="0"/>
          <w:numId w:val="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excessive parameter optimization. </w:t>
      </w:r>
    </w:p>
    <w:p w14:paraId="688A45F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purpose is not to construct the theoretically optimal portfolio.</w:t>
      </w:r>
    </w:p>
    <w:p w14:paraId="1BAAA37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purpose is to answer one clean empirical question about </w:t>
      </w:r>
      <w:r w:rsidRPr="00A27CC6">
        <w:rPr>
          <w:rFonts w:ascii="Calibri" w:eastAsia="Times New Roman" w:hAnsi="Calibri" w:cs="Calibri"/>
          <w:b/>
          <w:bCs/>
          <w:kern w:val="0"/>
          <w:sz w:val="20"/>
          <w:szCs w:val="20"/>
          <w:lang w:eastAsia="en-GB"/>
          <w14:ligatures w14:val="none"/>
        </w:rPr>
        <w:t>sector allocation signals</w:t>
      </w:r>
      <w:r w:rsidRPr="00A27CC6">
        <w:rPr>
          <w:rFonts w:ascii="Calibri" w:eastAsia="Times New Roman" w:hAnsi="Calibri" w:cs="Calibri"/>
          <w:kern w:val="0"/>
          <w:sz w:val="20"/>
          <w:szCs w:val="20"/>
          <w:lang w:eastAsia="en-GB"/>
          <w14:ligatures w14:val="none"/>
        </w:rPr>
        <w:t>.</w:t>
      </w:r>
    </w:p>
    <w:p w14:paraId="7C4EEA4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A438F1C">
          <v:rect id="_x0000_i2065" style="width:0;height:1.5pt" o:hralign="center" o:hrstd="t" o:hr="t" fillcolor="#a0a0a0" stroked="f"/>
        </w:pict>
      </w:r>
    </w:p>
    <w:p w14:paraId="7A7F310F"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4. Investment universe</w:t>
      </w:r>
    </w:p>
    <w:p w14:paraId="7C8A095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Start with the standard </w:t>
      </w:r>
      <w:r w:rsidRPr="00A27CC6">
        <w:rPr>
          <w:rFonts w:ascii="Calibri" w:eastAsia="Times New Roman" w:hAnsi="Calibri" w:cs="Calibri"/>
          <w:b/>
          <w:bCs/>
          <w:kern w:val="0"/>
          <w:sz w:val="20"/>
          <w:szCs w:val="20"/>
          <w:lang w:eastAsia="en-GB"/>
          <w14:ligatures w14:val="none"/>
        </w:rPr>
        <w:t>11 GICS U.S. equity sectors</w:t>
      </w:r>
      <w:r w:rsidRPr="00A27CC6">
        <w:rPr>
          <w:rFonts w:ascii="Calibri" w:eastAsia="Times New Roman" w:hAnsi="Calibri" w:cs="Calibri"/>
          <w:kern w:val="0"/>
          <w:sz w:val="20"/>
          <w:szCs w:val="20"/>
          <w:lang w:eastAsia="en-GB"/>
          <w14:ligatures w14:val="none"/>
        </w:rPr>
        <w:t>, represented using highly liquid U.S.-listed sector ETFs.</w:t>
      </w:r>
    </w:p>
    <w:p w14:paraId="5695BA1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sectors are:</w:t>
      </w:r>
    </w:p>
    <w:p w14:paraId="491173C0"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Communication Services </w:t>
      </w:r>
    </w:p>
    <w:p w14:paraId="3D9273B4"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Consumer Discretionary </w:t>
      </w:r>
    </w:p>
    <w:p w14:paraId="366D89E5"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Consumer Staples </w:t>
      </w:r>
    </w:p>
    <w:p w14:paraId="234FF74D"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Energy </w:t>
      </w:r>
    </w:p>
    <w:p w14:paraId="4DCF0808"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Financials </w:t>
      </w:r>
    </w:p>
    <w:p w14:paraId="1A740A8D"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Health Care </w:t>
      </w:r>
    </w:p>
    <w:p w14:paraId="70C58F6C"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Industrials </w:t>
      </w:r>
    </w:p>
    <w:p w14:paraId="661C1805"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Information Technology </w:t>
      </w:r>
    </w:p>
    <w:p w14:paraId="5ED26656"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Materials </w:t>
      </w:r>
    </w:p>
    <w:p w14:paraId="48ACC802"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Real Estate </w:t>
      </w:r>
    </w:p>
    <w:p w14:paraId="2781DB9B" w14:textId="77777777" w:rsidR="00A27CC6" w:rsidRPr="00A27CC6" w:rsidRDefault="00A27CC6">
      <w:pPr>
        <w:numPr>
          <w:ilvl w:val="0"/>
          <w:numId w:val="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Utilities </w:t>
      </w:r>
    </w:p>
    <w:p w14:paraId="3BD28BD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A natural implementation candidate is the SPDR sector ETF family, subject to checking historical availability and classification consistency.</w:t>
      </w:r>
    </w:p>
    <w:p w14:paraId="174BC2B3"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noProof/>
          <w:kern w:val="0"/>
          <w:sz w:val="20"/>
          <w:szCs w:val="20"/>
          <w:lang w:eastAsia="en-GB"/>
          <w14:ligatures w14:val="none"/>
        </w:rPr>
        <w:drawing>
          <wp:inline distT="0" distB="0" distL="0" distR="0" wp14:anchorId="7F526F4B" wp14:editId="10E39E06">
            <wp:extent cx="6376212" cy="4810125"/>
            <wp:effectExtent l="0" t="0" r="5715" b="0"/>
            <wp:docPr id="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6917" cy="4818201"/>
                    </a:xfrm>
                    <a:prstGeom prst="rect">
                      <a:avLst/>
                    </a:prstGeom>
                    <a:noFill/>
                    <a:ln>
                      <a:noFill/>
                    </a:ln>
                  </pic:spPr>
                </pic:pic>
              </a:graphicData>
            </a:graphic>
          </wp:inline>
        </w:drawing>
      </w:r>
    </w:p>
    <w:p w14:paraId="50790FB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noProof/>
          <w:kern w:val="0"/>
          <w:sz w:val="20"/>
          <w:szCs w:val="20"/>
          <w:lang w:eastAsia="en-GB"/>
          <w14:ligatures w14:val="none"/>
        </w:rPr>
        <w:drawing>
          <wp:inline distT="0" distB="0" distL="0" distR="0" wp14:anchorId="2FF9E549" wp14:editId="2E58ED17">
            <wp:extent cx="4438650" cy="3328987"/>
            <wp:effectExtent l="0" t="0" r="0" b="5080"/>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3474" cy="3340105"/>
                    </a:xfrm>
                    <a:prstGeom prst="rect">
                      <a:avLst/>
                    </a:prstGeom>
                    <a:noFill/>
                    <a:ln>
                      <a:noFill/>
                    </a:ln>
                  </pic:spPr>
                </pic:pic>
              </a:graphicData>
            </a:graphic>
          </wp:inline>
        </w:drawing>
      </w:r>
    </w:p>
    <w:p w14:paraId="4F5CAC48"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noProof/>
          <w:kern w:val="0"/>
          <w:sz w:val="20"/>
          <w:szCs w:val="20"/>
          <w:lang w:eastAsia="en-GB"/>
          <w14:ligatures w14:val="none"/>
        </w:rPr>
        <w:lastRenderedPageBreak/>
        <w:drawing>
          <wp:inline distT="0" distB="0" distL="0" distR="0" wp14:anchorId="7CCA8391" wp14:editId="0E0C7EC7">
            <wp:extent cx="5969260" cy="7962900"/>
            <wp:effectExtent l="0" t="0" r="0" b="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6445" cy="7972485"/>
                    </a:xfrm>
                    <a:prstGeom prst="rect">
                      <a:avLst/>
                    </a:prstGeom>
                    <a:noFill/>
                    <a:ln>
                      <a:noFill/>
                    </a:ln>
                  </pic:spPr>
                </pic:pic>
              </a:graphicData>
            </a:graphic>
          </wp:inline>
        </w:drawing>
      </w:r>
    </w:p>
    <w:p w14:paraId="314A26F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4</w:t>
      </w:r>
    </w:p>
    <w:p w14:paraId="04C59F4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initially add hand-picked industries such as automobiles.</w:t>
      </w:r>
    </w:p>
    <w:p w14:paraId="2C7C66E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Automotive equities are an attractive subsequent case study, but the first experiment benefits from having a standard, defensible, ex-ante universe rather than one selected according to expected results.</w:t>
      </w:r>
    </w:p>
    <w:p w14:paraId="3B85367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CD5DBDE">
          <v:rect id="_x0000_i2066" style="width:0;height:1.5pt" o:hralign="center" o:hrstd="t" o:hr="t" fillcolor="#a0a0a0" stroked="f"/>
        </w:pict>
      </w:r>
    </w:p>
    <w:p w14:paraId="00864434"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5. Frequency</w:t>
      </w:r>
    </w:p>
    <w:p w14:paraId="39F3266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Use </w:t>
      </w:r>
      <w:r w:rsidRPr="00A27CC6">
        <w:rPr>
          <w:rFonts w:ascii="Calibri" w:eastAsia="Times New Roman" w:hAnsi="Calibri" w:cs="Calibri"/>
          <w:b/>
          <w:bCs/>
          <w:kern w:val="0"/>
          <w:sz w:val="20"/>
          <w:szCs w:val="20"/>
          <w:lang w:eastAsia="en-GB"/>
          <w14:ligatures w14:val="none"/>
        </w:rPr>
        <w:t>weekly observations and weekly portfolio decisions</w:t>
      </w:r>
      <w:r w:rsidRPr="00A27CC6">
        <w:rPr>
          <w:rFonts w:ascii="Calibri" w:eastAsia="Times New Roman" w:hAnsi="Calibri" w:cs="Calibri"/>
          <w:kern w:val="0"/>
          <w:sz w:val="20"/>
          <w:szCs w:val="20"/>
          <w:lang w:eastAsia="en-GB"/>
          <w14:ligatures w14:val="none"/>
        </w:rPr>
        <w:t>.</w:t>
      </w:r>
    </w:p>
    <w:p w14:paraId="4014268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consistent with the original indicator design and avoids turning the framework into a high-turnover strategy.</w:t>
      </w:r>
    </w:p>
    <w:p w14:paraId="60165BA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All signals must use information available </w:t>
      </w:r>
      <w:r w:rsidRPr="00A27CC6">
        <w:rPr>
          <w:rFonts w:ascii="Calibri" w:eastAsia="Times New Roman" w:hAnsi="Calibri" w:cs="Calibri"/>
          <w:b/>
          <w:bCs/>
          <w:kern w:val="0"/>
          <w:sz w:val="20"/>
          <w:szCs w:val="20"/>
          <w:lang w:eastAsia="en-GB"/>
          <w14:ligatures w14:val="none"/>
        </w:rPr>
        <w:t>at or before the rebalance date</w:t>
      </w:r>
      <w:r w:rsidRPr="00A27CC6">
        <w:rPr>
          <w:rFonts w:ascii="Calibri" w:eastAsia="Times New Roman" w:hAnsi="Calibri" w:cs="Calibri"/>
          <w:kern w:val="0"/>
          <w:sz w:val="20"/>
          <w:szCs w:val="20"/>
          <w:lang w:eastAsia="en-GB"/>
          <w14:ligatures w14:val="none"/>
        </w:rPr>
        <w:t>.</w:t>
      </w:r>
    </w:p>
    <w:p w14:paraId="54C6533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Avoid look-ahead bias throughout.</w:t>
      </w:r>
    </w:p>
    <w:p w14:paraId="5772EDA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360C46B">
          <v:rect id="_x0000_i2067" style="width:0;height:1.5pt" o:hralign="center" o:hrstd="t" o:hr="t" fillcolor="#a0a0a0" stroked="f"/>
        </w:pict>
      </w:r>
    </w:p>
    <w:p w14:paraId="6F14BC05"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6. Strategic versus active allocation</w:t>
      </w:r>
    </w:p>
    <w:p w14:paraId="097DF22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distinction is fundamental.</w:t>
      </w:r>
    </w:p>
    <w:p w14:paraId="3FC03A4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Every sector has a </w:t>
      </w:r>
      <w:r w:rsidRPr="00A27CC6">
        <w:rPr>
          <w:rFonts w:ascii="Calibri" w:eastAsia="Times New Roman" w:hAnsi="Calibri" w:cs="Calibri"/>
          <w:b/>
          <w:bCs/>
          <w:kern w:val="0"/>
          <w:sz w:val="20"/>
          <w:szCs w:val="20"/>
          <w:lang w:eastAsia="en-GB"/>
          <w14:ligatures w14:val="none"/>
        </w:rPr>
        <w:t>strategic/benchmark allocation</w:t>
      </w:r>
      <w:r w:rsidRPr="00A27CC6">
        <w:rPr>
          <w:rFonts w:ascii="Calibri" w:eastAsia="Times New Roman" w:hAnsi="Calibri" w:cs="Calibri"/>
          <w:kern w:val="0"/>
          <w:sz w:val="20"/>
          <w:szCs w:val="20"/>
          <w:lang w:eastAsia="en-GB"/>
          <w14:ligatures w14:val="none"/>
        </w:rPr>
        <w:t xml:space="preserve"> and an </w:t>
      </w:r>
      <w:r w:rsidRPr="00A27CC6">
        <w:rPr>
          <w:rFonts w:ascii="Calibri" w:eastAsia="Times New Roman" w:hAnsi="Calibri" w:cs="Calibri"/>
          <w:b/>
          <w:bCs/>
          <w:kern w:val="0"/>
          <w:sz w:val="20"/>
          <w:szCs w:val="20"/>
          <w:lang w:eastAsia="en-GB"/>
          <w14:ligatures w14:val="none"/>
        </w:rPr>
        <w:t>active adjustment</w:t>
      </w:r>
      <w:r w:rsidRPr="00A27CC6">
        <w:rPr>
          <w:rFonts w:ascii="Calibri" w:eastAsia="Times New Roman" w:hAnsi="Calibri" w:cs="Calibri"/>
          <w:kern w:val="0"/>
          <w:sz w:val="20"/>
          <w:szCs w:val="20"/>
          <w:lang w:eastAsia="en-GB"/>
          <w14:ligatures w14:val="none"/>
        </w:rPr>
        <w:t>.</w:t>
      </w:r>
    </w:p>
    <w:p w14:paraId="4C87B94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Conceptually:</w:t>
      </w:r>
    </w:p>
    <w:p w14:paraId="0DDB1D8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r>
            <w:rPr>
              <w:rFonts w:ascii="Cambria Math" w:eastAsia="Times New Roman" w:hAnsi="Cambria Math" w:cs="Calibri"/>
              <w:kern w:val="0"/>
              <w:sz w:val="20"/>
              <w:szCs w:val="20"/>
              <w:lang w:eastAsia="en-GB"/>
              <w14:ligatures w14:val="none"/>
            </w:rPr>
            <m:t>+</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Sub>
          <m:r>
            <w:rPr>
              <w:rFonts w:ascii="Calibri" w:eastAsia="Times New Roman" w:hAnsi="Calibri" w:cs="Calibri"/>
              <w:kern w:val="0"/>
              <w:sz w:val="20"/>
              <w:szCs w:val="20"/>
              <w:lang w:eastAsia="en-GB"/>
              <w14:ligatures w14:val="none"/>
            </w:rPr>
            <w:br/>
          </m:r>
        </m:oMath>
      </m:oMathPara>
    </w:p>
    <w:p w14:paraId="2A0883E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or, preferably for implementation:</w:t>
      </w:r>
    </w:p>
    <w:p w14:paraId="23B845A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1+</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Sub>
                </m:e>
              </m:d>
            </m:e>
          </m:borderBox>
          <m:r>
            <w:rPr>
              <w:rFonts w:ascii="Calibri" w:eastAsia="Times New Roman" w:hAnsi="Calibri" w:cs="Calibri"/>
              <w:kern w:val="0"/>
              <w:sz w:val="20"/>
              <w:szCs w:val="20"/>
              <w:lang w:eastAsia="en-GB"/>
              <w14:ligatures w14:val="none"/>
            </w:rPr>
            <w:br/>
          </m:r>
        </m:oMath>
      </m:oMathPara>
    </w:p>
    <w:p w14:paraId="6F54D54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where:</w:t>
      </w:r>
    </w:p>
    <w:p w14:paraId="24862AA8" w14:textId="77777777" w:rsidR="00A27CC6" w:rsidRPr="00A27CC6" w:rsidRDefault="00A27CC6">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m:oMath>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oMath>
      <w:r w:rsidRPr="00A27CC6">
        <w:rPr>
          <w:rFonts w:ascii="Calibri" w:eastAsia="Times New Roman" w:hAnsi="Calibri" w:cs="Calibri"/>
          <w:kern w:val="0"/>
          <w:sz w:val="20"/>
          <w:szCs w:val="20"/>
          <w:lang w:eastAsia="en-GB"/>
          <w14:ligatures w14:val="none"/>
        </w:rPr>
        <w:t xml:space="preserve">= neutral sector allocation; </w:t>
      </w:r>
    </w:p>
    <w:p w14:paraId="4A1F353D" w14:textId="77777777" w:rsidR="00A27CC6" w:rsidRPr="00A27CC6" w:rsidRDefault="00A27CC6">
      <w:pPr>
        <w:numPr>
          <w:ilvl w:val="0"/>
          <w:numId w:val="4"/>
        </w:numPr>
        <w:spacing w:before="100" w:beforeAutospacing="1" w:after="100" w:afterAutospacing="1" w:line="240" w:lineRule="auto"/>
        <w:rPr>
          <w:rFonts w:ascii="Calibri" w:eastAsia="Times New Roman" w:hAnsi="Calibri" w:cs="Calibri"/>
          <w:kern w:val="0"/>
          <w:sz w:val="20"/>
          <w:szCs w:val="20"/>
          <w:lang w:eastAsia="en-GB"/>
          <w14:ligatures w14:val="none"/>
        </w:rPr>
      </w:pPr>
      <m:oMath>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Sub>
      </m:oMath>
      <w:r w:rsidRPr="00A27CC6">
        <w:rPr>
          <w:rFonts w:ascii="Calibri" w:eastAsia="Times New Roman" w:hAnsi="Calibri" w:cs="Calibri"/>
          <w:kern w:val="0"/>
          <w:sz w:val="20"/>
          <w:szCs w:val="20"/>
          <w:lang w:eastAsia="en-GB"/>
          <w14:ligatures w14:val="none"/>
        </w:rPr>
        <w:t xml:space="preserve">= active percentage overweight/underweight generated by the signal. </w:t>
      </w:r>
    </w:p>
    <w:p w14:paraId="2A4A469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resulting raw portfolio weights are then normalized appropriately.</w:t>
      </w:r>
    </w:p>
    <w:p w14:paraId="7E82079B"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Example</w:t>
      </w:r>
    </w:p>
    <w:p w14:paraId="5D6ACAD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Technology's strategic allocation is 25% and the strategy assigns it a +20% active multiplier:</w:t>
      </w:r>
    </w:p>
    <w:p w14:paraId="64F41B3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25%×1.20=30%</m:t>
          </m:r>
          <m:r>
            <w:rPr>
              <w:rFonts w:ascii="Calibri" w:eastAsia="Times New Roman" w:hAnsi="Calibri" w:cs="Calibri"/>
              <w:i/>
              <w:kern w:val="0"/>
              <w:sz w:val="20"/>
              <w:szCs w:val="20"/>
              <w:lang w:eastAsia="en-GB"/>
              <w14:ligatures w14:val="none"/>
            </w:rPr>
            <w:br/>
          </m:r>
        </m:oMath>
      </m:oMathPara>
    </w:p>
    <w:p w14:paraId="03C575B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Utilities has a strategic weight of 5% and receives a −40% multiplier:</w:t>
      </w:r>
    </w:p>
    <w:p w14:paraId="4941815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w:lastRenderedPageBreak/>
            <m:t>5%×0.60=3%.</m:t>
          </m:r>
          <m:r>
            <w:rPr>
              <w:rFonts w:ascii="Calibri" w:eastAsia="Times New Roman" w:hAnsi="Calibri" w:cs="Calibri"/>
              <w:i/>
              <w:kern w:val="0"/>
              <w:sz w:val="20"/>
              <w:szCs w:val="20"/>
              <w:lang w:eastAsia="en-GB"/>
              <w14:ligatures w14:val="none"/>
            </w:rPr>
            <w:br/>
          </m:r>
        </m:oMath>
      </m:oMathPara>
    </w:p>
    <w:p w14:paraId="710B9F4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Thus the strategy can be </w:t>
      </w:r>
      <w:r w:rsidRPr="00A27CC6">
        <w:rPr>
          <w:rFonts w:ascii="Calibri" w:eastAsia="Times New Roman" w:hAnsi="Calibri" w:cs="Calibri"/>
          <w:b/>
          <w:bCs/>
          <w:kern w:val="0"/>
          <w:sz w:val="20"/>
          <w:szCs w:val="20"/>
          <w:lang w:eastAsia="en-GB"/>
          <w14:ligatures w14:val="none"/>
        </w:rPr>
        <w:t>relatively long Technology and relatively short Utilities</w:t>
      </w:r>
      <w:r w:rsidRPr="00A27CC6">
        <w:rPr>
          <w:rFonts w:ascii="Calibri" w:eastAsia="Times New Roman" w:hAnsi="Calibri" w:cs="Calibri"/>
          <w:kern w:val="0"/>
          <w:sz w:val="20"/>
          <w:szCs w:val="20"/>
          <w:lang w:eastAsia="en-GB"/>
          <w14:ligatures w14:val="none"/>
        </w:rPr>
        <w:t xml:space="preserve"> without literally shorting Utilities.</w:t>
      </w:r>
    </w:p>
    <w:p w14:paraId="65E9406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Every final sector position remains:</w:t>
      </w:r>
    </w:p>
    <w:p w14:paraId="405792E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m:t>
              </m:r>
            </m:sub>
          </m:sSub>
          <m:r>
            <w:rPr>
              <w:rFonts w:ascii="Cambria Math" w:eastAsia="Times New Roman" w:hAnsi="Cambria Math" w:cs="Calibri"/>
              <w:kern w:val="0"/>
              <w:sz w:val="20"/>
              <w:szCs w:val="20"/>
              <w:lang w:eastAsia="en-GB"/>
              <w14:ligatures w14:val="none"/>
            </w:rPr>
            <m:t>≥0.</m:t>
          </m:r>
        </m:oMath>
      </m:oMathPara>
    </w:p>
    <w:p w14:paraId="7AAB23DE"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25BFE96">
          <v:rect id="_x0000_i2068" style="width:0;height:1.5pt" o:hralign="center" o:hrstd="t" o:hr="t" fillcolor="#a0a0a0" stroked="f"/>
        </w:pict>
      </w:r>
    </w:p>
    <w:p w14:paraId="128C0332"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7. Strategic weighting methodology</w:t>
      </w:r>
    </w:p>
    <w:p w14:paraId="20635F4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Two possibilities were discussed.</w:t>
      </w:r>
    </w:p>
    <w:p w14:paraId="1F4AA632"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A. Inverse-volatility weighting</w:t>
      </w:r>
    </w:p>
    <w:p w14:paraId="0DD694A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m:t>
              </m:r>
            </m:sub>
            <m:sup>
              <m:r>
                <w:rPr>
                  <w:rFonts w:ascii="Cambria Math" w:eastAsia="Times New Roman" w:hAnsi="Cambria Math" w:cs="Calibri"/>
                  <w:kern w:val="0"/>
                  <w:sz w:val="20"/>
                  <w:szCs w:val="20"/>
                  <w:lang w:eastAsia="en-GB"/>
                  <w14:ligatures w14:val="none"/>
                </w:rPr>
                <m:t>IV</m:t>
              </m:r>
            </m:sup>
          </m:sSubSup>
          <m:r>
            <w:rPr>
              <w:rFonts w:ascii="Cambria Math" w:eastAsia="Times New Roman" w:hAnsi="Cambria Math" w:cs="Calibri"/>
              <w:kern w:val="0"/>
              <w:sz w:val="20"/>
              <w:szCs w:val="20"/>
              <w:lang w:eastAsia="en-GB"/>
              <w14:ligatures w14:val="none"/>
            </w:rPr>
            <m:t>∝</m:t>
          </m:r>
          <m:f>
            <m:fPr>
              <m:ctrlPr>
                <w:rPr>
                  <w:rFonts w:ascii="Cambria Math" w:eastAsia="Times New Roman" w:hAnsi="Cambria Math" w:cs="Calibri"/>
                  <w:kern w:val="0"/>
                  <w:sz w:val="20"/>
                  <w:szCs w:val="20"/>
                  <w:lang w:eastAsia="en-GB"/>
                  <w14:ligatures w14:val="none"/>
                </w:rPr>
              </m:ctrlPr>
            </m:fPr>
            <m:num>
              <m:r>
                <w:rPr>
                  <w:rFonts w:ascii="Cambria Math" w:eastAsia="Times New Roman" w:hAnsi="Cambria Math" w:cs="Calibri"/>
                  <w:kern w:val="0"/>
                  <w:sz w:val="20"/>
                  <w:szCs w:val="20"/>
                  <w:lang w:eastAsia="en-GB"/>
                  <w14:ligatures w14:val="none"/>
                </w:rPr>
                <m:t>1</m:t>
              </m:r>
            </m:num>
            <m:den>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σ</m:t>
                  </m:r>
                </m:e>
                <m:sub>
                  <m:r>
                    <w:rPr>
                      <w:rFonts w:ascii="Cambria Math" w:eastAsia="Times New Roman" w:hAnsi="Cambria Math" w:cs="Calibri"/>
                      <w:kern w:val="0"/>
                      <w:sz w:val="20"/>
                      <w:szCs w:val="20"/>
                      <w:lang w:eastAsia="en-GB"/>
                      <w14:ligatures w14:val="none"/>
                    </w:rPr>
                    <m:t>i</m:t>
                  </m:r>
                </m:sub>
              </m:sSub>
            </m:den>
          </m:f>
          <m:r>
            <w:rPr>
              <w:rFonts w:ascii="Calibri" w:eastAsia="Times New Roman" w:hAnsi="Calibri" w:cs="Calibri"/>
              <w:kern w:val="0"/>
              <w:sz w:val="20"/>
              <w:szCs w:val="20"/>
              <w:lang w:eastAsia="en-GB"/>
              <w14:ligatures w14:val="none"/>
            </w:rPr>
            <w:br/>
          </m:r>
        </m:oMath>
      </m:oMathPara>
    </w:p>
    <w:p w14:paraId="7C10640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attractive from a risk-management perspective and avoids allowing volatile sectors to dominate portfolio risk.</w:t>
      </w:r>
    </w:p>
    <w:p w14:paraId="1BDAAA0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However, inverse volatility is itself an active portfolio-construction decision.</w:t>
      </w:r>
    </w:p>
    <w:p w14:paraId="2EB992A7"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 S&amp;P 500 sector market-cap weights — preferred primary specification</w:t>
      </w:r>
    </w:p>
    <w:p w14:paraId="203BEEC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this particular sector-rotation experiment, the preferred conceptual strategic allocation is:</w:t>
      </w:r>
    </w:p>
    <w:p w14:paraId="3644278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r>
                <w:rPr>
                  <w:rFonts w:ascii="Cambria Math" w:eastAsia="Times New Roman" w:hAnsi="Cambria Math" w:cs="Calibri"/>
                  <w:kern w:val="0"/>
                  <w:sz w:val="20"/>
                  <w:szCs w:val="20"/>
                  <w:lang w:eastAsia="en-GB"/>
                  <w14:ligatures w14:val="none"/>
                </w:rPr>
                <m:t>=</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m:t>
                  </m:r>
                  <m:r>
                    <m:rPr>
                      <m:lit/>
                    </m:rPr>
                    <w:rPr>
                      <w:rFonts w:ascii="Cambria Math" w:eastAsia="Times New Roman" w:hAnsi="Cambria Math" w:cs="Calibri"/>
                      <w:kern w:val="0"/>
                      <w:sz w:val="20"/>
                      <w:szCs w:val="20"/>
                      <w:lang w:eastAsia="en-GB"/>
                      <w14:ligatures w14:val="none"/>
                    </w:rPr>
                    <m:t>&amp;</m:t>
                  </m:r>
                  <m:r>
                    <w:rPr>
                      <w:rFonts w:ascii="Cambria Math" w:eastAsia="Times New Roman" w:hAnsi="Cambria Math" w:cs="Calibri"/>
                      <w:kern w:val="0"/>
                      <w:sz w:val="20"/>
                      <w:szCs w:val="20"/>
                      <w:lang w:eastAsia="en-GB"/>
                      <w14:ligatures w14:val="none"/>
                    </w:rPr>
                    <m:t>P500Sector</m:t>
                  </m:r>
                </m:sup>
              </m:sSubSup>
            </m:e>
          </m:borderBox>
          <m:r>
            <w:rPr>
              <w:rFonts w:ascii="Calibri" w:eastAsia="Times New Roman" w:hAnsi="Calibri" w:cs="Calibri"/>
              <w:kern w:val="0"/>
              <w:sz w:val="20"/>
              <w:szCs w:val="20"/>
              <w:lang w:eastAsia="en-GB"/>
              <w14:ligatures w14:val="none"/>
            </w:rPr>
            <w:br/>
          </m:r>
        </m:oMath>
      </m:oMathPara>
    </w:p>
    <w:p w14:paraId="6FAD3AB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makes the research question exceptionally clean:</w:t>
      </w:r>
    </w:p>
    <w:p w14:paraId="63B23BB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Can systematic active sector over/underweights improve upon the market's existing allocation of capital across sectors?</w:t>
      </w:r>
    </w:p>
    <w:p w14:paraId="47A904F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difficulty is obtaining reliable </w:t>
      </w:r>
      <w:r w:rsidRPr="00A27CC6">
        <w:rPr>
          <w:rFonts w:ascii="Calibri" w:eastAsia="Times New Roman" w:hAnsi="Calibri" w:cs="Calibri"/>
          <w:b/>
          <w:bCs/>
          <w:kern w:val="0"/>
          <w:sz w:val="20"/>
          <w:szCs w:val="20"/>
          <w:lang w:eastAsia="en-GB"/>
          <w14:ligatures w14:val="none"/>
        </w:rPr>
        <w:t>point-in-time historical S&amp;P 500 sector weights</w:t>
      </w:r>
      <w:r w:rsidRPr="00A27CC6">
        <w:rPr>
          <w:rFonts w:ascii="Calibri" w:eastAsia="Times New Roman" w:hAnsi="Calibri" w:cs="Calibri"/>
          <w:kern w:val="0"/>
          <w:sz w:val="20"/>
          <w:szCs w:val="20"/>
          <w:lang w:eastAsia="en-GB"/>
          <w14:ligatures w14:val="none"/>
        </w:rPr>
        <w:t xml:space="preserve"> without accidentally introducing look-ahead bias.</w:t>
      </w:r>
    </w:p>
    <w:p w14:paraId="3A2F4CE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Therefore, when implementing the notebook, investigate what historical point-in-time sector-weight data can be obtained reliably.</w:t>
      </w:r>
    </w:p>
    <w:p w14:paraId="43A5C1A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silently substitute today's S&amp;P sector weights throughout history.</w:t>
      </w:r>
    </w:p>
    <w:p w14:paraId="490258E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high-quality historical weights prove unnecessarily burdensome, a transparent alternative strategic weighting scheme can be selected and documented.</w:t>
      </w:r>
    </w:p>
    <w:p w14:paraId="7A18F20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Inverse volatility remains the obvious alternative.</w:t>
      </w:r>
    </w:p>
    <w:p w14:paraId="2A09D029"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E427F6F">
          <v:rect id="_x0000_i2069" style="width:0;height:1.5pt" o:hralign="center" o:hrstd="t" o:hr="t" fillcolor="#a0a0a0" stroked="f"/>
        </w:pict>
      </w:r>
    </w:p>
    <w:p w14:paraId="558371A9"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lastRenderedPageBreak/>
        <w:t>8. S&amp;P 500 sector replication portfolio</w:t>
      </w:r>
    </w:p>
    <w:p w14:paraId="2EAC462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portfolio consisting of the individual sector ETFs at S&amp;P 500 sector weights may be constructed internally.</w:t>
      </w:r>
    </w:p>
    <w:p w14:paraId="220BECE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Its purpose is </w:t>
      </w:r>
      <w:r w:rsidRPr="00A27CC6">
        <w:rPr>
          <w:rFonts w:ascii="Calibri" w:eastAsia="Times New Roman" w:hAnsi="Calibri" w:cs="Calibri"/>
          <w:b/>
          <w:bCs/>
          <w:kern w:val="0"/>
          <w:sz w:val="20"/>
          <w:szCs w:val="20"/>
          <w:lang w:eastAsia="en-GB"/>
          <w14:ligatures w14:val="none"/>
        </w:rPr>
        <w:t>validation</w:t>
      </w:r>
      <w:r w:rsidRPr="00A27CC6">
        <w:rPr>
          <w:rFonts w:ascii="Calibri" w:eastAsia="Times New Roman" w:hAnsi="Calibri" w:cs="Calibri"/>
          <w:kern w:val="0"/>
          <w:sz w:val="20"/>
          <w:szCs w:val="20"/>
          <w:lang w:eastAsia="en-GB"/>
          <w14:ligatures w14:val="none"/>
        </w:rPr>
        <w:t>, not to become another headline investment strategy.</w:t>
      </w:r>
    </w:p>
    <w:p w14:paraId="3E8C569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It should approximately reproduce the S&amp;P 500.</w:t>
      </w:r>
    </w:p>
    <w:p w14:paraId="28E30F0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Differences may arise from:</w:t>
      </w:r>
    </w:p>
    <w:p w14:paraId="29C3C15B"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ETF expense ratios; </w:t>
      </w:r>
    </w:p>
    <w:p w14:paraId="55DD7CAD"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rebalance timing; </w:t>
      </w:r>
    </w:p>
    <w:p w14:paraId="2D04D0AA"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historical weight measurement; </w:t>
      </w:r>
    </w:p>
    <w:p w14:paraId="2CC5DF1A"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index methodology; </w:t>
      </w:r>
    </w:p>
    <w:p w14:paraId="3E0CBE04"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sector reclassifications; </w:t>
      </w:r>
    </w:p>
    <w:p w14:paraId="09E26391" w14:textId="77777777" w:rsidR="00A27CC6" w:rsidRPr="00A27CC6" w:rsidRDefault="00A27CC6">
      <w:pPr>
        <w:numPr>
          <w:ilvl w:val="0"/>
          <w:numId w:val="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tracking differences. </w:t>
      </w:r>
    </w:p>
    <w:p w14:paraId="4D12696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reconstructed sector performance differs dramatically from the S&amp;P 500, investigate the implementation.</w:t>
      </w:r>
    </w:p>
    <w:p w14:paraId="5663337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replication portfolio does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need to feature prominently in the eventual report.</w:t>
      </w:r>
    </w:p>
    <w:p w14:paraId="36BA5743"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181F8EFB">
          <v:rect id="_x0000_i2070" style="width:0;height:1.5pt" o:hralign="center" o:hrstd="t" o:hr="t" fillcolor="#a0a0a0" stroked="f"/>
        </w:pict>
      </w:r>
    </w:p>
    <w:p w14:paraId="25B288EC"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9. Headline portfolios</w:t>
      </w:r>
    </w:p>
    <w:p w14:paraId="4D3B889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Keep the main comparison to </w:t>
      </w:r>
      <w:r w:rsidRPr="00A27CC6">
        <w:rPr>
          <w:rFonts w:ascii="Calibri" w:eastAsia="Times New Roman" w:hAnsi="Calibri" w:cs="Calibri"/>
          <w:b/>
          <w:bCs/>
          <w:kern w:val="0"/>
          <w:sz w:val="20"/>
          <w:szCs w:val="20"/>
          <w:lang w:eastAsia="en-GB"/>
          <w14:ligatures w14:val="none"/>
        </w:rPr>
        <w:t>three portfolios</w:t>
      </w:r>
      <w:r w:rsidRPr="00A27CC6">
        <w:rPr>
          <w:rFonts w:ascii="Calibri" w:eastAsia="Times New Roman" w:hAnsi="Calibri" w:cs="Calibri"/>
          <w:kern w:val="0"/>
          <w:sz w:val="20"/>
          <w:szCs w:val="20"/>
          <w:lang w:eastAsia="en-GB"/>
          <w14:ligatures w14:val="none"/>
        </w:rPr>
        <w:t>.</w:t>
      </w:r>
    </w:p>
    <w:p w14:paraId="7FF323C6"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Portfolio 1 — S&amp;P 500</w:t>
      </w:r>
    </w:p>
    <w:p w14:paraId="2DB061D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Passive real-world benchmark.</w:t>
      </w:r>
    </w:p>
    <w:p w14:paraId="62A7035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answers the obvious investor question:</w:t>
      </w:r>
    </w:p>
    <w:p w14:paraId="3C39342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Why not simply own the index?</w:t>
      </w:r>
    </w:p>
    <w:p w14:paraId="79933B98"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Portfolio 2 — Conventional time-series momentum sector rotation</w:t>
      </w:r>
    </w:p>
    <w:p w14:paraId="20623E9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Use the same sector universe and strategic portfolio architecture, but determine active over/underweights using a simple traditional trend signal.</w:t>
      </w:r>
    </w:p>
    <w:p w14:paraId="7407F0C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preferred benchmark is </w:t>
      </w:r>
      <w:r w:rsidRPr="00A27CC6">
        <w:rPr>
          <w:rFonts w:ascii="Calibri" w:eastAsia="Times New Roman" w:hAnsi="Calibri" w:cs="Calibri"/>
          <w:b/>
          <w:bCs/>
          <w:kern w:val="0"/>
          <w:sz w:val="20"/>
          <w:szCs w:val="20"/>
          <w:lang w:eastAsia="en-GB"/>
          <w14:ligatures w14:val="none"/>
        </w:rPr>
        <w:t>12-month time-series momentum</w:t>
      </w:r>
      <w:r w:rsidRPr="00A27CC6">
        <w:rPr>
          <w:rFonts w:ascii="Calibri" w:eastAsia="Times New Roman" w:hAnsi="Calibri" w:cs="Calibri"/>
          <w:kern w:val="0"/>
          <w:sz w:val="20"/>
          <w:szCs w:val="20"/>
          <w:lang w:eastAsia="en-GB"/>
          <w14:ligatures w14:val="none"/>
        </w:rPr>
        <w:t>.</w:t>
      </w:r>
    </w:p>
    <w:p w14:paraId="6FAE19C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Conceptually:</w:t>
      </w:r>
    </w:p>
    <w:p w14:paraId="051ED1F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MO</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M</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m:t>
          </m:r>
          <m:f>
            <m:fPr>
              <m:ctrlPr>
                <w:rPr>
                  <w:rFonts w:ascii="Cambria Math" w:eastAsia="Times New Roman" w:hAnsi="Cambria Math" w:cs="Calibri"/>
                  <w:kern w:val="0"/>
                  <w:sz w:val="20"/>
                  <w:szCs w:val="20"/>
                  <w:lang w:eastAsia="en-GB"/>
                  <w14:ligatures w14:val="none"/>
                </w:rPr>
              </m:ctrlPr>
            </m:fPr>
            <m:num>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P</m:t>
                  </m:r>
                </m:e>
                <m:sub>
                  <m:r>
                    <w:rPr>
                      <w:rFonts w:ascii="Cambria Math" w:eastAsia="Times New Roman" w:hAnsi="Cambria Math" w:cs="Calibri"/>
                      <w:kern w:val="0"/>
                      <w:sz w:val="20"/>
                      <w:szCs w:val="20"/>
                      <w:lang w:eastAsia="en-GB"/>
                      <w14:ligatures w14:val="none"/>
                    </w:rPr>
                    <m:t>i,t</m:t>
                  </m:r>
                </m:sub>
              </m:sSub>
            </m:num>
            <m:den>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P</m:t>
                  </m:r>
                </m:e>
                <m:sub>
                  <m:r>
                    <w:rPr>
                      <w:rFonts w:ascii="Cambria Math" w:eastAsia="Times New Roman" w:hAnsi="Cambria Math" w:cs="Calibri"/>
                      <w:kern w:val="0"/>
                      <w:sz w:val="20"/>
                      <w:szCs w:val="20"/>
                      <w:lang w:eastAsia="en-GB"/>
                      <w14:ligatures w14:val="none"/>
                    </w:rPr>
                    <m:t>i,t-12m</m:t>
                  </m:r>
                </m:sub>
              </m:sSub>
            </m:den>
          </m:f>
          <m:r>
            <w:rPr>
              <w:rFonts w:ascii="Cambria Math" w:eastAsia="Times New Roman" w:hAnsi="Cambria Math" w:cs="Calibri"/>
              <w:kern w:val="0"/>
              <w:sz w:val="20"/>
              <w:szCs w:val="20"/>
              <w:lang w:eastAsia="en-GB"/>
              <w14:ligatures w14:val="none"/>
            </w:rPr>
            <m:t>-1</m:t>
          </m:r>
          <m:r>
            <w:rPr>
              <w:rFonts w:ascii="Calibri" w:eastAsia="Times New Roman" w:hAnsi="Calibri" w:cs="Calibri"/>
              <w:i/>
              <w:kern w:val="0"/>
              <w:sz w:val="20"/>
              <w:szCs w:val="20"/>
              <w:lang w:eastAsia="en-GB"/>
              <w14:ligatures w14:val="none"/>
            </w:rPr>
            <w:br/>
          </m:r>
        </m:oMath>
      </m:oMathPara>
    </w:p>
    <w:p w14:paraId="0A69A3E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Positive momentum produces an overweight; negative momentum produces an underweight.</w:t>
      </w:r>
    </w:p>
    <w:p w14:paraId="11C1D77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Keep this specification deliberately simple.</w:t>
      </w:r>
    </w:p>
    <w:p w14:paraId="5472F3EC"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lastRenderedPageBreak/>
        <w:t>Portfolio 3 — State-dependent sector rotation</w:t>
      </w:r>
    </w:p>
    <w:p w14:paraId="590497D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the proposed strategy.</w:t>
      </w:r>
    </w:p>
    <w:p w14:paraId="2041537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Use the existing </w:t>
      </w:r>
      <w:proofErr w:type="spellStart"/>
      <w:r w:rsidRPr="00A27CC6">
        <w:rPr>
          <w:rFonts w:ascii="Calibri" w:eastAsia="Times New Roman" w:hAnsi="Calibri" w:cs="Calibri"/>
          <w:kern w:val="0"/>
          <w:sz w:val="20"/>
          <w:szCs w:val="20"/>
          <w:lang w:eastAsia="en-GB"/>
          <w14:ligatures w14:val="none"/>
        </w:rPr>
        <w:t>SuperSmoother</w:t>
      </w:r>
      <w:proofErr w:type="spellEnd"/>
      <w:r w:rsidRPr="00A27CC6">
        <w:rPr>
          <w:rFonts w:ascii="Calibri" w:eastAsia="Times New Roman" w:hAnsi="Calibri" w:cs="Calibri"/>
          <w:kern w:val="0"/>
          <w:sz w:val="20"/>
          <w:szCs w:val="20"/>
          <w:lang w:eastAsia="en-GB"/>
          <w14:ligatures w14:val="none"/>
        </w:rPr>
        <w:t>/oscillator/Bollinger-band state machine to determine gradual sector over- and underweights.</w:t>
      </w:r>
    </w:p>
    <w:p w14:paraId="052CDA7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strategic weighting system, universe and other portfolio assumptions should be kept as similar as possible to Portfolio 2.</w:t>
      </w:r>
    </w:p>
    <w:p w14:paraId="24C520C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Thus:</w:t>
      </w:r>
    </w:p>
    <w:p w14:paraId="39884D1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r>
                <m:rPr>
                  <m:nor/>
                </m:rPr>
                <w:rPr>
                  <w:rFonts w:ascii="Calibri" w:eastAsia="Times New Roman" w:hAnsi="Calibri" w:cs="Calibri"/>
                  <w:kern w:val="0"/>
                  <w:sz w:val="20"/>
                  <w:szCs w:val="20"/>
                  <w:lang w:eastAsia="en-GB"/>
                  <w14:ligatures w14:val="none"/>
                </w:rPr>
                <m:t>Same universe</m:t>
              </m:r>
              <m:r>
                <w:rPr>
                  <w:rFonts w:ascii="Cambria Math" w:eastAsia="Times New Roman" w:hAnsi="Cambria Math" w:cs="Calibri"/>
                  <w:kern w:val="0"/>
                  <w:sz w:val="20"/>
                  <w:szCs w:val="20"/>
                  <w:lang w:eastAsia="en-GB"/>
                  <w14:ligatures w14:val="none"/>
                </w:rPr>
                <m:t>+</m:t>
              </m:r>
              <m:r>
                <m:rPr>
                  <m:nor/>
                </m:rPr>
                <w:rPr>
                  <w:rFonts w:ascii="Calibri" w:eastAsia="Times New Roman" w:hAnsi="Calibri" w:cs="Calibri"/>
                  <w:kern w:val="0"/>
                  <w:sz w:val="20"/>
                  <w:szCs w:val="20"/>
                  <w:lang w:eastAsia="en-GB"/>
                  <w14:ligatures w14:val="none"/>
                </w:rPr>
                <m:t>same portfolio constraints</m:t>
              </m:r>
              <m:r>
                <w:rPr>
                  <w:rFonts w:ascii="Cambria Math" w:eastAsia="Times New Roman" w:hAnsi="Cambria Math" w:cs="Calibri"/>
                  <w:kern w:val="0"/>
                  <w:sz w:val="20"/>
                  <w:szCs w:val="20"/>
                  <w:lang w:eastAsia="en-GB"/>
                  <w14:ligatures w14:val="none"/>
                </w:rPr>
                <m:t>+</m:t>
              </m:r>
              <m:r>
                <m:rPr>
                  <m:nor/>
                </m:rPr>
                <w:rPr>
                  <w:rFonts w:ascii="Calibri" w:eastAsia="Times New Roman" w:hAnsi="Calibri" w:cs="Calibri"/>
                  <w:kern w:val="0"/>
                  <w:sz w:val="20"/>
                  <w:szCs w:val="20"/>
                  <w:lang w:eastAsia="en-GB"/>
                  <w14:ligatures w14:val="none"/>
                </w:rPr>
                <m:t>different signal</m:t>
              </m:r>
            </m:e>
          </m:borderBox>
          <m:r>
            <w:rPr>
              <w:rFonts w:ascii="Calibri" w:eastAsia="Times New Roman" w:hAnsi="Calibri" w:cs="Calibri"/>
              <w:kern w:val="0"/>
              <w:sz w:val="20"/>
              <w:szCs w:val="20"/>
              <w:lang w:eastAsia="en-GB"/>
              <w14:ligatures w14:val="none"/>
            </w:rPr>
            <w:br/>
          </m:r>
        </m:oMath>
      </m:oMathPara>
    </w:p>
    <w:p w14:paraId="3D012A9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critical for clean attribution.</w:t>
      </w:r>
    </w:p>
    <w:p w14:paraId="70CAC8A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0DBCFBDE">
          <v:rect id="_x0000_i2071" style="width:0;height:1.5pt" o:hralign="center" o:hrstd="t" o:hr="t" fillcolor="#a0a0a0" stroked="f"/>
        </w:pict>
      </w:r>
    </w:p>
    <w:p w14:paraId="2E808F8D"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 xml:space="preserve">10. Do not include </w:t>
      </w:r>
      <w:proofErr w:type="spellStart"/>
      <w:r w:rsidRPr="00A27CC6">
        <w:rPr>
          <w:rFonts w:ascii="Calibri" w:eastAsia="Times New Roman" w:hAnsi="Calibri" w:cs="Calibri"/>
          <w:b/>
          <w:bCs/>
          <w:kern w:val="36"/>
          <w:sz w:val="40"/>
          <w:szCs w:val="40"/>
          <w:lang w:eastAsia="en-GB"/>
          <w14:ligatures w14:val="none"/>
        </w:rPr>
        <w:t>Donchian</w:t>
      </w:r>
      <w:proofErr w:type="spellEnd"/>
      <w:r w:rsidRPr="00A27CC6">
        <w:rPr>
          <w:rFonts w:ascii="Calibri" w:eastAsia="Times New Roman" w:hAnsi="Calibri" w:cs="Calibri"/>
          <w:b/>
          <w:bCs/>
          <w:kern w:val="36"/>
          <w:sz w:val="40"/>
          <w:szCs w:val="40"/>
          <w:lang w:eastAsia="en-GB"/>
          <w14:ligatures w14:val="none"/>
        </w:rPr>
        <w:t>/Turtle as a primary benchmark</w:t>
      </w:r>
    </w:p>
    <w:p w14:paraId="150FE8D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traditional Turtle/</w:t>
      </w:r>
      <w:proofErr w:type="spellStart"/>
      <w:r w:rsidRPr="00A27CC6">
        <w:rPr>
          <w:rFonts w:ascii="Calibri" w:eastAsia="Times New Roman" w:hAnsi="Calibri" w:cs="Calibri"/>
          <w:kern w:val="0"/>
          <w:sz w:val="20"/>
          <w:szCs w:val="20"/>
          <w:lang w:eastAsia="en-GB"/>
          <w14:ligatures w14:val="none"/>
        </w:rPr>
        <w:t>Donchian</w:t>
      </w:r>
      <w:proofErr w:type="spellEnd"/>
      <w:r w:rsidRPr="00A27CC6">
        <w:rPr>
          <w:rFonts w:ascii="Calibri" w:eastAsia="Times New Roman" w:hAnsi="Calibri" w:cs="Calibri"/>
          <w:kern w:val="0"/>
          <w:sz w:val="20"/>
          <w:szCs w:val="20"/>
          <w:lang w:eastAsia="en-GB"/>
          <w14:ligatures w14:val="none"/>
        </w:rPr>
        <w:t xml:space="preserve"> breakout strategy associated with Richard Dennis was discussed.</w:t>
      </w:r>
    </w:p>
    <w:p w14:paraId="1E63768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It is historically important and may be mentioned in the literature/background section.</w:t>
      </w:r>
    </w:p>
    <w:p w14:paraId="68C7531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However, 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initially implement it as another benchmark.</w:t>
      </w:r>
    </w:p>
    <w:p w14:paraId="41CB73B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Turtle framework naturally introduces questions around:</w:t>
      </w:r>
    </w:p>
    <w:p w14:paraId="352335EE"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futures; </w:t>
      </w:r>
    </w:p>
    <w:p w14:paraId="22D8CE5E"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breakout horizons; </w:t>
      </w:r>
    </w:p>
    <w:p w14:paraId="7271BCFE"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stop losses; </w:t>
      </w:r>
    </w:p>
    <w:p w14:paraId="106C5C1B"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ATR/N-based sizing; </w:t>
      </w:r>
    </w:p>
    <w:p w14:paraId="281626CA"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pyramiding; </w:t>
      </w:r>
    </w:p>
    <w:p w14:paraId="74DAE8F3"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multiple simultaneous positions; </w:t>
      </w:r>
    </w:p>
    <w:p w14:paraId="0D279CC1"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collateral; </w:t>
      </w:r>
    </w:p>
    <w:p w14:paraId="43B54FEF" w14:textId="77777777" w:rsidR="00A27CC6" w:rsidRPr="00A27CC6" w:rsidRDefault="00A27CC6">
      <w:pPr>
        <w:numPr>
          <w:ilvl w:val="0"/>
          <w:numId w:val="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leverage. </w:t>
      </w:r>
    </w:p>
    <w:p w14:paraId="1DC86A0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Those questions distract from the primary sector-allocation hypothesis.</w:t>
      </w:r>
    </w:p>
    <w:p w14:paraId="2C985F1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 </w:t>
      </w:r>
      <w:proofErr w:type="spellStart"/>
      <w:r w:rsidRPr="00A27CC6">
        <w:rPr>
          <w:rFonts w:ascii="Calibri" w:eastAsia="Times New Roman" w:hAnsi="Calibri" w:cs="Calibri"/>
          <w:kern w:val="0"/>
          <w:sz w:val="20"/>
          <w:szCs w:val="20"/>
          <w:lang w:eastAsia="en-GB"/>
          <w14:ligatures w14:val="none"/>
        </w:rPr>
        <w:t>Donchian</w:t>
      </w:r>
      <w:proofErr w:type="spellEnd"/>
      <w:r w:rsidRPr="00A27CC6">
        <w:rPr>
          <w:rFonts w:ascii="Calibri" w:eastAsia="Times New Roman" w:hAnsi="Calibri" w:cs="Calibri"/>
          <w:kern w:val="0"/>
          <w:sz w:val="20"/>
          <w:szCs w:val="20"/>
          <w:lang w:eastAsia="en-GB"/>
          <w14:ligatures w14:val="none"/>
        </w:rPr>
        <w:t xml:space="preserve"> benchmark can always be added later.</w:t>
      </w:r>
    </w:p>
    <w:p w14:paraId="6C84D94F"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6172E78">
          <v:rect id="_x0000_i2072" style="width:0;height:1.5pt" o:hralign="center" o:hrstd="t" o:hr="t" fillcolor="#a0a0a0" stroked="f"/>
        </w:pict>
      </w:r>
    </w:p>
    <w:p w14:paraId="3F919161"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11. Proposed indicator</w:t>
      </w:r>
    </w:p>
    <w:p w14:paraId="4E82FC7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proprietary signal is based on the existing </w:t>
      </w:r>
      <w:proofErr w:type="spellStart"/>
      <w:r w:rsidRPr="00A27CC6">
        <w:rPr>
          <w:rFonts w:ascii="Calibri" w:eastAsia="Times New Roman" w:hAnsi="Calibri" w:cs="Calibri"/>
          <w:kern w:val="0"/>
          <w:sz w:val="20"/>
          <w:szCs w:val="20"/>
          <w:lang w:eastAsia="en-GB"/>
          <w14:ligatures w14:val="none"/>
        </w:rPr>
        <w:t>TradingView</w:t>
      </w:r>
      <w:proofErr w:type="spellEnd"/>
      <w:r w:rsidRPr="00A27CC6">
        <w:rPr>
          <w:rFonts w:ascii="Calibri" w:eastAsia="Times New Roman" w:hAnsi="Calibri" w:cs="Calibri"/>
          <w:kern w:val="0"/>
          <w:sz w:val="20"/>
          <w:szCs w:val="20"/>
          <w:lang w:eastAsia="en-GB"/>
          <w14:ligatures w14:val="none"/>
        </w:rPr>
        <w:t>/Pine strategy already translated into Python during earlier research.</w:t>
      </w:r>
    </w:p>
    <w:p w14:paraId="121B82D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Core parameters previously used:</w:t>
      </w:r>
    </w:p>
    <w:p w14:paraId="4476913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FAST_EMA = 20</w:t>
      </w:r>
    </w:p>
    <w:p w14:paraId="13AE16D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SLOW_EMA = 50</w:t>
      </w:r>
    </w:p>
    <w:p w14:paraId="18B0105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SIGNAL_EMA = 25</w:t>
      </w:r>
    </w:p>
    <w:p w14:paraId="35700E0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6D731B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BB_LENGTH = 20</w:t>
      </w:r>
    </w:p>
    <w:p w14:paraId="289BB13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BB_SMOOTHING = 5</w:t>
      </w:r>
    </w:p>
    <w:p w14:paraId="77E991F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UPPER_MULTIPLIER = 1.0</w:t>
      </w:r>
    </w:p>
    <w:p w14:paraId="5691C9E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LOWER_MULTIPLIER = 1.0</w:t>
      </w:r>
    </w:p>
    <w:p w14:paraId="31FAC76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CC1A91D"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DIRECTION_LOOKBACK = 2</w:t>
      </w:r>
    </w:p>
    <w:p w14:paraId="2C81BBC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Price is first processed using the existing </w:t>
      </w:r>
      <w:proofErr w:type="spellStart"/>
      <w:r w:rsidRPr="00A27CC6">
        <w:rPr>
          <w:rFonts w:ascii="Calibri" w:eastAsia="Times New Roman" w:hAnsi="Calibri" w:cs="Calibri"/>
          <w:b/>
          <w:bCs/>
          <w:kern w:val="0"/>
          <w:sz w:val="20"/>
          <w:szCs w:val="20"/>
          <w:lang w:eastAsia="en-GB"/>
          <w14:ligatures w14:val="none"/>
        </w:rPr>
        <w:t>SuperSmoother</w:t>
      </w:r>
      <w:proofErr w:type="spellEnd"/>
      <w:r w:rsidRPr="00A27CC6">
        <w:rPr>
          <w:rFonts w:ascii="Calibri" w:eastAsia="Times New Roman" w:hAnsi="Calibri" w:cs="Calibri"/>
          <w:kern w:val="0"/>
          <w:sz w:val="20"/>
          <w:szCs w:val="20"/>
          <w:lang w:eastAsia="en-GB"/>
          <w14:ligatures w14:val="none"/>
        </w:rPr>
        <w:t xml:space="preserve"> methodology.</w:t>
      </w:r>
    </w:p>
    <w:p w14:paraId="080E10C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Then:</w:t>
      </w:r>
    </w:p>
    <w:p w14:paraId="1EA62DF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Oscillator=EM</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20</m:t>
              </m:r>
            </m:sub>
          </m:sSub>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SmoothedPrice</m:t>
              </m:r>
            </m:e>
          </m:d>
          <m:r>
            <w:rPr>
              <w:rFonts w:ascii="Cambria Math" w:eastAsia="Times New Roman" w:hAnsi="Cambria Math" w:cs="Calibri"/>
              <w:kern w:val="0"/>
              <w:sz w:val="20"/>
              <w:szCs w:val="20"/>
              <w:lang w:eastAsia="en-GB"/>
              <w14:ligatures w14:val="none"/>
            </w:rPr>
            <m:t>-EM</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50</m:t>
              </m:r>
            </m:sub>
          </m:sSub>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SmoothedPrice</m:t>
              </m:r>
            </m:e>
          </m:d>
          <m:r>
            <w:rPr>
              <w:rFonts w:ascii="Calibri" w:eastAsia="Times New Roman" w:hAnsi="Calibri" w:cs="Calibri"/>
              <w:kern w:val="0"/>
              <w:sz w:val="20"/>
              <w:szCs w:val="20"/>
              <w:lang w:eastAsia="en-GB"/>
              <w14:ligatures w14:val="none"/>
            </w:rPr>
            <w:br/>
          </m:r>
        </m:oMath>
      </m:oMathPara>
    </w:p>
    <w:p w14:paraId="683EDCE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and:</w:t>
      </w:r>
    </w:p>
    <w:p w14:paraId="4EADB19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Signal=EM</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25</m:t>
              </m:r>
            </m:sub>
          </m:sSub>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Oscillator</m:t>
              </m:r>
            </m:e>
          </m:d>
          <m:r>
            <w:rPr>
              <w:rFonts w:ascii="Cambria Math" w:eastAsia="Times New Roman" w:hAnsi="Cambria Math" w:cs="Calibri"/>
              <w:kern w:val="0"/>
              <w:sz w:val="20"/>
              <w:szCs w:val="20"/>
              <w:lang w:eastAsia="en-GB"/>
              <w14:ligatures w14:val="none"/>
            </w:rPr>
            <m:t>.</m:t>
          </m:r>
          <m:r>
            <w:rPr>
              <w:rFonts w:ascii="Calibri" w:eastAsia="Times New Roman" w:hAnsi="Calibri" w:cs="Calibri"/>
              <w:i/>
              <w:kern w:val="0"/>
              <w:sz w:val="20"/>
              <w:szCs w:val="20"/>
              <w:lang w:eastAsia="en-GB"/>
              <w14:ligatures w14:val="none"/>
            </w:rPr>
            <w:br/>
          </m:r>
        </m:oMath>
      </m:oMathPara>
    </w:p>
    <w:p w14:paraId="788374C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Bollinger-style envelope is calculated around the signal using the smoothed standard deviation of the oscillator–signal spread.</w:t>
      </w:r>
    </w:p>
    <w:p w14:paraId="6623DE9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exact existing indicator mathematics should be preserved when transferring the signal engine into </w:t>
      </w:r>
      <w:proofErr w:type="spellStart"/>
      <w:r w:rsidRPr="00A27CC6">
        <w:rPr>
          <w:rFonts w:ascii="Calibri" w:eastAsia="Times New Roman" w:hAnsi="Calibri" w:cs="Calibri"/>
          <w:kern w:val="0"/>
          <w:sz w:val="20"/>
          <w:szCs w:val="20"/>
          <w:lang w:eastAsia="en-GB"/>
          <w14:ligatures w14:val="none"/>
        </w:rPr>
        <w:t>Colab</w:t>
      </w:r>
      <w:proofErr w:type="spellEnd"/>
      <w:r w:rsidRPr="00A27CC6">
        <w:rPr>
          <w:rFonts w:ascii="Calibri" w:eastAsia="Times New Roman" w:hAnsi="Calibri" w:cs="Calibri"/>
          <w:kern w:val="0"/>
          <w:sz w:val="20"/>
          <w:szCs w:val="20"/>
          <w:lang w:eastAsia="en-GB"/>
          <w14:ligatures w14:val="none"/>
        </w:rPr>
        <w:t xml:space="preserve"> rather than redesigning it casually.</w:t>
      </w:r>
    </w:p>
    <w:p w14:paraId="091F4111"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625E7B9F">
          <v:rect id="_x0000_i2073" style="width:0;height:1.5pt" o:hralign="center" o:hrstd="t" o:hr="t" fillcolor="#a0a0a0" stroked="f"/>
        </w:pict>
      </w:r>
    </w:p>
    <w:p w14:paraId="0F0FE67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12. Important indicator states</w:t>
      </w:r>
    </w:p>
    <w:p w14:paraId="7009536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existing signal logic distinguishes several economically useful states.</w:t>
      </w:r>
    </w:p>
    <w:p w14:paraId="30D146AC"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Early reversal / initial accumulation</w:t>
      </w:r>
    </w:p>
    <w:p w14:paraId="67910D6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model remembers that:</w:t>
      </w:r>
    </w:p>
    <w:p w14:paraId="42BCD960" w14:textId="77777777" w:rsidR="00A27CC6" w:rsidRPr="00A27CC6" w:rsidRDefault="00A27CC6">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was below the lower Bollinger envelope; </w:t>
      </w:r>
    </w:p>
    <w:p w14:paraId="61EC1C5A" w14:textId="77777777" w:rsidR="00A27CC6" w:rsidRPr="00A27CC6" w:rsidRDefault="00A27CC6">
      <w:pPr>
        <w:numPr>
          <w:ilvl w:val="0"/>
          <w:numId w:val="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was negative. </w:t>
      </w:r>
    </w:p>
    <w:p w14:paraId="3A0898C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Entry into early reversal occurs when:</w:t>
      </w:r>
    </w:p>
    <w:p w14:paraId="76DA4D07" w14:textId="77777777" w:rsidR="00A27CC6" w:rsidRPr="00A27CC6" w:rsidRDefault="00A27CC6">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remains below zero; </w:t>
      </w:r>
    </w:p>
    <w:p w14:paraId="2FCA08F8" w14:textId="77777777" w:rsidR="00A27CC6" w:rsidRPr="00A27CC6" w:rsidRDefault="00A27CC6">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moves back above the lower envelope; </w:t>
      </w:r>
    </w:p>
    <w:p w14:paraId="74C6DCA5" w14:textId="77777777" w:rsidR="00A27CC6" w:rsidRPr="00A27CC6" w:rsidRDefault="00A27CC6">
      <w:pPr>
        <w:numPr>
          <w:ilvl w:val="0"/>
          <w:numId w:val="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is rising. </w:t>
      </w:r>
    </w:p>
    <w:p w14:paraId="0C0B9BE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represents the first stage of rebuilding exposure after a weak/bearish trend.</w:t>
      </w:r>
    </w:p>
    <w:p w14:paraId="3467DCFB"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Confirmed positive trend</w:t>
      </w:r>
    </w:p>
    <w:p w14:paraId="0F9565A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Following successful early reversal, the sector transitions toward its ordinary/neutral positive-trend allocation.</w:t>
      </w:r>
    </w:p>
    <w:p w14:paraId="71694A53"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lastRenderedPageBreak/>
        <w:t>Pullback accumulation</w:t>
      </w:r>
    </w:p>
    <w:p w14:paraId="6F5534C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model remembers that:</w:t>
      </w:r>
    </w:p>
    <w:p w14:paraId="32D5D1D1" w14:textId="77777777" w:rsidR="00A27CC6" w:rsidRPr="00A27CC6" w:rsidRDefault="00A27CC6">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was above the upper envelope; </w:t>
      </w:r>
    </w:p>
    <w:p w14:paraId="4FDF0296" w14:textId="77777777" w:rsidR="00A27CC6" w:rsidRPr="00A27CC6" w:rsidRDefault="00A27CC6">
      <w:pPr>
        <w:numPr>
          <w:ilvl w:val="0"/>
          <w:numId w:val="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was positive. </w:t>
      </w:r>
    </w:p>
    <w:p w14:paraId="39730F2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Pullback accumulation begins when:</w:t>
      </w:r>
    </w:p>
    <w:p w14:paraId="0E194322" w14:textId="77777777" w:rsidR="00A27CC6" w:rsidRPr="00A27CC6" w:rsidRDefault="00A27CC6">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remains positive; </w:t>
      </w:r>
    </w:p>
    <w:p w14:paraId="7A311B68" w14:textId="77777777" w:rsidR="00A27CC6" w:rsidRPr="00A27CC6" w:rsidRDefault="00A27CC6">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falls back below the upper envelope; </w:t>
      </w:r>
    </w:p>
    <w:p w14:paraId="48F55D7E" w14:textId="77777777" w:rsidR="00A27CC6" w:rsidRPr="00A27CC6" w:rsidRDefault="00A27CC6">
      <w:pPr>
        <w:numPr>
          <w:ilvl w:val="0"/>
          <w:numId w:val="1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is declining. </w:t>
      </w:r>
    </w:p>
    <w:p w14:paraId="0810763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represents an opportunity to increase an already-existing position during a pullback within the broader positive trend.</w:t>
      </w:r>
    </w:p>
    <w:p w14:paraId="7A946589"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Profit taking</w:t>
      </w:r>
    </w:p>
    <w:p w14:paraId="2A082A2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oscillator remains positive but begins declining/“turns red.”</w:t>
      </w:r>
    </w:p>
    <w:p w14:paraId="164553D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causes a gradual reduction in active overweight.</w:t>
      </w:r>
    </w:p>
    <w:p w14:paraId="7CAD16E5"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Bearish / oscillator below zero</w:t>
      </w:r>
    </w:p>
    <w:p w14:paraId="1754423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oscillator crossing below zero represents a materially unattractive trend state.</w:t>
      </w:r>
    </w:p>
    <w:p w14:paraId="167CBE3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For this sector-rotation project it should </w:t>
      </w:r>
      <w:r w:rsidRPr="00A27CC6">
        <w:rPr>
          <w:rFonts w:ascii="Calibri" w:eastAsia="Times New Roman" w:hAnsi="Calibri" w:cs="Calibri"/>
          <w:b/>
          <w:bCs/>
          <w:kern w:val="0"/>
          <w:sz w:val="20"/>
          <w:szCs w:val="20"/>
          <w:lang w:eastAsia="en-GB"/>
          <w14:ligatures w14:val="none"/>
        </w:rPr>
        <w:t>not require complete liquidation</w:t>
      </w:r>
      <w:r w:rsidRPr="00A27CC6">
        <w:rPr>
          <w:rFonts w:ascii="Calibri" w:eastAsia="Times New Roman" w:hAnsi="Calibri" w:cs="Calibri"/>
          <w:kern w:val="0"/>
          <w:sz w:val="20"/>
          <w:szCs w:val="20"/>
          <w:lang w:eastAsia="en-GB"/>
          <w14:ligatures w14:val="none"/>
        </w:rPr>
        <w:t>.</w:t>
      </w:r>
    </w:p>
    <w:p w14:paraId="4A99874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Instead, it produces a </w:t>
      </w:r>
      <w:r w:rsidRPr="00A27CC6">
        <w:rPr>
          <w:rFonts w:ascii="Calibri" w:eastAsia="Times New Roman" w:hAnsi="Calibri" w:cs="Calibri"/>
          <w:b/>
          <w:bCs/>
          <w:kern w:val="0"/>
          <w:sz w:val="20"/>
          <w:szCs w:val="20"/>
          <w:lang w:eastAsia="en-GB"/>
          <w14:ligatures w14:val="none"/>
        </w:rPr>
        <w:t>relative underweight</w:t>
      </w:r>
      <w:r w:rsidRPr="00A27CC6">
        <w:rPr>
          <w:rFonts w:ascii="Calibri" w:eastAsia="Times New Roman" w:hAnsi="Calibri" w:cs="Calibri"/>
          <w:kern w:val="0"/>
          <w:sz w:val="20"/>
          <w:szCs w:val="20"/>
          <w:lang w:eastAsia="en-GB"/>
          <w14:ligatures w14:val="none"/>
        </w:rPr>
        <w:t>.</w:t>
      </w:r>
    </w:p>
    <w:p w14:paraId="7EE7F6C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distinction is fundamental.</w:t>
      </w:r>
    </w:p>
    <w:p w14:paraId="23F3026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5DB96E48">
          <v:rect id="_x0000_i2074" style="width:0;height:1.5pt" o:hralign="center" o:hrstd="t" o:hr="t" fillcolor="#a0a0a0" stroked="f"/>
        </w:pict>
      </w:r>
    </w:p>
    <w:p w14:paraId="3CB0795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13. Translate the indicator into active weights</w:t>
      </w:r>
    </w:p>
    <w:p w14:paraId="592C00D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make the first implementation a complicated continuous function of oscillator magnitude.</w:t>
      </w:r>
    </w:p>
    <w:p w14:paraId="0828B96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Use a simple </w:t>
      </w:r>
      <w:r w:rsidRPr="00A27CC6">
        <w:rPr>
          <w:rFonts w:ascii="Calibri" w:eastAsia="Times New Roman" w:hAnsi="Calibri" w:cs="Calibri"/>
          <w:b/>
          <w:bCs/>
          <w:kern w:val="0"/>
          <w:sz w:val="20"/>
          <w:szCs w:val="20"/>
          <w:lang w:eastAsia="en-GB"/>
          <w14:ligatures w14:val="none"/>
        </w:rPr>
        <w:t>state-dependent staircase</w:t>
      </w:r>
      <w:r w:rsidRPr="00A27CC6">
        <w:rPr>
          <w:rFonts w:ascii="Calibri" w:eastAsia="Times New Roman" w:hAnsi="Calibri" w:cs="Calibri"/>
          <w:kern w:val="0"/>
          <w:sz w:val="20"/>
          <w:szCs w:val="20"/>
          <w:lang w:eastAsia="en-GB"/>
          <w14:ligatures w14:val="none"/>
        </w:rPr>
        <w:t>.</w:t>
      </w:r>
    </w:p>
    <w:p w14:paraId="1D5C9B7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easier to explain, harder to overfit and consistent with the original DCA philosophy.</w:t>
      </w:r>
    </w:p>
    <w:p w14:paraId="04C4631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conceptual lifecycle is:</w:t>
      </w:r>
    </w:p>
    <w:p w14:paraId="7D1B55A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BEARISH</w:t>
      </w:r>
    </w:p>
    <w:p w14:paraId="1CB1ED1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maximum underweight</w:t>
      </w:r>
    </w:p>
    <w:p w14:paraId="70E25EB4"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p>
    <w:p w14:paraId="3758122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p>
    <w:p w14:paraId="48BE530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EARLY REVERSAL</w:t>
      </w:r>
    </w:p>
    <w:p w14:paraId="488488C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gradually remove underweight</w:t>
      </w:r>
    </w:p>
    <w:p w14:paraId="1F80854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p>
    <w:p w14:paraId="2085AAB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p>
    <w:p w14:paraId="42F40C7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CONFIRMED TREND</w:t>
      </w:r>
    </w:p>
    <w:p w14:paraId="278F4271"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neutral strategic allocation</w:t>
      </w:r>
    </w:p>
    <w:p w14:paraId="3DF4C3A4"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p>
    <w:p w14:paraId="72023534"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lastRenderedPageBreak/>
        <w:t xml:space="preserve">       </w:t>
      </w:r>
      <w:r w:rsidRPr="00A27CC6">
        <w:rPr>
          <w:rFonts w:ascii="MS Gothic" w:eastAsia="MS Gothic" w:hAnsi="MS Gothic" w:cs="MS Gothic" w:hint="eastAsia"/>
          <w:kern w:val="0"/>
          <w:sz w:val="16"/>
          <w:szCs w:val="16"/>
          <w:lang w:eastAsia="en-GB"/>
          <w14:ligatures w14:val="none"/>
        </w:rPr>
        <w:t>├</w:t>
      </w:r>
      <w:r w:rsidRPr="00A27CC6">
        <w:rPr>
          <w:rFonts w:ascii="Calibri" w:eastAsia="Times New Roman" w:hAnsi="Calibri" w:cs="Calibri"/>
          <w:kern w:val="0"/>
          <w:sz w:val="16"/>
          <w:szCs w:val="16"/>
          <w:lang w:eastAsia="en-GB"/>
          <w14:ligatures w14:val="none"/>
        </w:rPr>
        <w:t>───────────────┐</w:t>
      </w:r>
    </w:p>
    <w:p w14:paraId="59C008C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p>
    <w:p w14:paraId="371E4C2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PROFIT TAKING</w:t>
      </w:r>
    </w:p>
    <w:p w14:paraId="205C706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ACCUMULATION</w:t>
      </w:r>
    </w:p>
    <w:p w14:paraId="1550D90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               │</w:t>
      </w:r>
    </w:p>
    <w:p w14:paraId="59A3224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increase            reduce</w:t>
      </w:r>
    </w:p>
    <w:p w14:paraId="62661EB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overweight          </w:t>
      </w:r>
      <w:proofErr w:type="spellStart"/>
      <w:r w:rsidRPr="00A27CC6">
        <w:rPr>
          <w:rFonts w:ascii="Calibri" w:eastAsia="Times New Roman" w:hAnsi="Calibri" w:cs="Calibri"/>
          <w:kern w:val="0"/>
          <w:sz w:val="16"/>
          <w:szCs w:val="16"/>
          <w:lang w:eastAsia="en-GB"/>
          <w14:ligatures w14:val="none"/>
        </w:rPr>
        <w:t>overweight</w:t>
      </w:r>
      <w:proofErr w:type="spellEnd"/>
    </w:p>
    <w:p w14:paraId="02B4F2B4"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               │</w:t>
      </w:r>
    </w:p>
    <w:p w14:paraId="72CF9AE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MS Gothic" w:eastAsia="MS Gothic" w:hAnsi="MS Gothic" w:cs="MS Gothic" w:hint="eastAsia"/>
          <w:kern w:val="0"/>
          <w:sz w:val="16"/>
          <w:szCs w:val="16"/>
          <w:lang w:eastAsia="en-GB"/>
          <w14:ligatures w14:val="none"/>
        </w:rPr>
        <w:t>┬</w:t>
      </w:r>
      <w:r w:rsidRPr="00A27CC6">
        <w:rPr>
          <w:rFonts w:ascii="Calibri" w:eastAsia="Times New Roman" w:hAnsi="Calibri" w:cs="Calibri"/>
          <w:kern w:val="0"/>
          <w:sz w:val="16"/>
          <w:szCs w:val="16"/>
          <w:lang w:eastAsia="en-GB"/>
          <w14:ligatures w14:val="none"/>
        </w:rPr>
        <w:t>───────┘</w:t>
      </w:r>
    </w:p>
    <w:p w14:paraId="2176CD5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p>
    <w:p w14:paraId="65B0545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NORMAL TREND</w:t>
      </w:r>
    </w:p>
    <w:p w14:paraId="38A0E10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p>
    <w:p w14:paraId="0EE6A031"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zero-cross</w:t>
      </w:r>
    </w:p>
    <w:p w14:paraId="409C43E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w:t>
      </w:r>
      <w:r w:rsidRPr="00A27CC6">
        <w:rPr>
          <w:rFonts w:ascii="Arial" w:eastAsia="Times New Roman" w:hAnsi="Arial" w:cs="Arial"/>
          <w:kern w:val="0"/>
          <w:sz w:val="16"/>
          <w:szCs w:val="16"/>
          <w:lang w:eastAsia="en-GB"/>
          <w14:ligatures w14:val="none"/>
        </w:rPr>
        <w:t>▼</w:t>
      </w:r>
    </w:p>
    <w:p w14:paraId="45E6C9E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UNDERWEIGHT</w:t>
      </w:r>
    </w:p>
    <w:p w14:paraId="41DD08A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DC8B319">
          <v:rect id="_x0000_i2075" style="width:0;height:1.5pt" o:hralign="center" o:hrstd="t" o:hr="t" fillcolor="#a0a0a0" stroked="f"/>
        </w:pict>
      </w:r>
    </w:p>
    <w:p w14:paraId="57A19EB2"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14. Initial active-weight specification</w:t>
      </w:r>
    </w:p>
    <w:p w14:paraId="6E51FD0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Exact parameters should be clearly defined </w:t>
      </w:r>
      <w:r w:rsidRPr="00A27CC6">
        <w:rPr>
          <w:rFonts w:ascii="Calibri" w:eastAsia="Times New Roman" w:hAnsi="Calibri" w:cs="Calibri"/>
          <w:b/>
          <w:bCs/>
          <w:kern w:val="0"/>
          <w:sz w:val="20"/>
          <w:szCs w:val="20"/>
          <w:lang w:eastAsia="en-GB"/>
          <w14:ligatures w14:val="none"/>
        </w:rPr>
        <w:t>before looking at performance</w:t>
      </w:r>
      <w:r w:rsidRPr="00A27CC6">
        <w:rPr>
          <w:rFonts w:ascii="Calibri" w:eastAsia="Times New Roman" w:hAnsi="Calibri" w:cs="Calibri"/>
          <w:kern w:val="0"/>
          <w:sz w:val="20"/>
          <w:szCs w:val="20"/>
          <w:lang w:eastAsia="en-GB"/>
          <w14:ligatures w14:val="none"/>
        </w:rPr>
        <w:t>.</w:t>
      </w:r>
    </w:p>
    <w:p w14:paraId="5A6625F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Avoid optimizing them immediately.</w:t>
      </w:r>
    </w:p>
    <w:p w14:paraId="1BCAE51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simple starting framework could use an active multiplier bounded by:</w:t>
      </w:r>
    </w:p>
    <w:p w14:paraId="51C2BEC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-0.50≤</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≤+0.50.</m:t>
          </m:r>
          <m:r>
            <w:rPr>
              <w:rFonts w:ascii="Calibri" w:eastAsia="Times New Roman" w:hAnsi="Calibri" w:cs="Calibri"/>
              <w:i/>
              <w:kern w:val="0"/>
              <w:sz w:val="20"/>
              <w:szCs w:val="20"/>
              <w:lang w:eastAsia="en-GB"/>
              <w14:ligatures w14:val="none"/>
            </w:rPr>
            <w:br/>
          </m:r>
        </m:oMath>
      </m:oMathPara>
    </w:p>
    <w:p w14:paraId="371EA17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Therefore:</w:t>
      </w:r>
    </w:p>
    <w:p w14:paraId="2D24B6F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0.50</m:t>
          </m:r>
          <m:sSup>
            <m:sSupPr>
              <m:ctrlPr>
                <w:rPr>
                  <w:rFonts w:ascii="Cambria Math" w:eastAsia="Times New Roman" w:hAnsi="Cambria Math" w:cs="Calibri"/>
                  <w:kern w:val="0"/>
                  <w:sz w:val="20"/>
                  <w:szCs w:val="20"/>
                  <w:lang w:eastAsia="en-GB"/>
                  <w14:ligatures w14:val="none"/>
                </w:rPr>
              </m:ctrlPr>
            </m:sSupPr>
            <m:e>
              <m:r>
                <w:rPr>
                  <w:rFonts w:ascii="Cambria Math" w:eastAsia="Times New Roman" w:hAnsi="Cambria Math" w:cs="Calibri"/>
                  <w:kern w:val="0"/>
                  <w:sz w:val="20"/>
                  <w:szCs w:val="20"/>
                  <w:lang w:eastAsia="en-GB"/>
                  <w14:ligatures w14:val="none"/>
                </w:rPr>
                <m:t>w</m:t>
              </m:r>
            </m:e>
            <m:sup>
              <m:r>
                <w:rPr>
                  <w:rFonts w:ascii="Cambria Math" w:eastAsia="Times New Roman" w:hAnsi="Cambria Math" w:cs="Calibri"/>
                  <w:kern w:val="0"/>
                  <w:sz w:val="20"/>
                  <w:szCs w:val="20"/>
                  <w:lang w:eastAsia="en-GB"/>
                  <w14:ligatures w14:val="none"/>
                </w:rPr>
                <m:t>Strategic</m:t>
              </m:r>
            </m:sup>
          </m:sSup>
          <m:r>
            <w:rPr>
              <w:rFonts w:ascii="Cambria Math" w:eastAsia="Times New Roman" w:hAnsi="Cambria Math" w:cs="Calibri"/>
              <w:kern w:val="0"/>
              <w:sz w:val="20"/>
              <w:szCs w:val="20"/>
              <w:lang w:eastAsia="en-GB"/>
              <w14:ligatures w14:val="none"/>
            </w:rPr>
            <m:t>≤</m:t>
          </m:r>
          <m:sSup>
            <m:sSupPr>
              <m:ctrlPr>
                <w:rPr>
                  <w:rFonts w:ascii="Cambria Math" w:eastAsia="Times New Roman" w:hAnsi="Cambria Math" w:cs="Calibri"/>
                  <w:kern w:val="0"/>
                  <w:sz w:val="20"/>
                  <w:szCs w:val="20"/>
                  <w:lang w:eastAsia="en-GB"/>
                  <w14:ligatures w14:val="none"/>
                </w:rPr>
              </m:ctrlPr>
            </m:sSupPr>
            <m:e>
              <m:r>
                <w:rPr>
                  <w:rFonts w:ascii="Cambria Math" w:eastAsia="Times New Roman" w:hAnsi="Cambria Math" w:cs="Calibri"/>
                  <w:kern w:val="0"/>
                  <w:sz w:val="20"/>
                  <w:szCs w:val="20"/>
                  <w:lang w:eastAsia="en-GB"/>
                  <w14:ligatures w14:val="none"/>
                </w:rPr>
                <m:t>w</m:t>
              </m:r>
            </m:e>
            <m:sup>
              <m:r>
                <w:rPr>
                  <w:rFonts w:ascii="Cambria Math" w:eastAsia="Times New Roman" w:hAnsi="Cambria Math" w:cs="Calibri"/>
                  <w:kern w:val="0"/>
                  <w:sz w:val="20"/>
                  <w:szCs w:val="20"/>
                  <w:lang w:eastAsia="en-GB"/>
                  <w14:ligatures w14:val="none"/>
                </w:rPr>
                <m:t>raw</m:t>
              </m:r>
            </m:sup>
          </m:sSup>
          <m:r>
            <w:rPr>
              <w:rFonts w:ascii="Cambria Math" w:eastAsia="Times New Roman" w:hAnsi="Cambria Math" w:cs="Calibri"/>
              <w:kern w:val="0"/>
              <w:sz w:val="20"/>
              <w:szCs w:val="20"/>
              <w:lang w:eastAsia="en-GB"/>
              <w14:ligatures w14:val="none"/>
            </w:rPr>
            <m:t>≤1.50</m:t>
          </m:r>
          <m:sSup>
            <m:sSupPr>
              <m:ctrlPr>
                <w:rPr>
                  <w:rFonts w:ascii="Cambria Math" w:eastAsia="Times New Roman" w:hAnsi="Cambria Math" w:cs="Calibri"/>
                  <w:kern w:val="0"/>
                  <w:sz w:val="20"/>
                  <w:szCs w:val="20"/>
                  <w:lang w:eastAsia="en-GB"/>
                  <w14:ligatures w14:val="none"/>
                </w:rPr>
              </m:ctrlPr>
            </m:sSupPr>
            <m:e>
              <m:r>
                <w:rPr>
                  <w:rFonts w:ascii="Cambria Math" w:eastAsia="Times New Roman" w:hAnsi="Cambria Math" w:cs="Calibri"/>
                  <w:kern w:val="0"/>
                  <w:sz w:val="20"/>
                  <w:szCs w:val="20"/>
                  <w:lang w:eastAsia="en-GB"/>
                  <w14:ligatures w14:val="none"/>
                </w:rPr>
                <m:t>w</m:t>
              </m:r>
            </m:e>
            <m:sup>
              <m:r>
                <w:rPr>
                  <w:rFonts w:ascii="Cambria Math" w:eastAsia="Times New Roman" w:hAnsi="Cambria Math" w:cs="Calibri"/>
                  <w:kern w:val="0"/>
                  <w:sz w:val="20"/>
                  <w:szCs w:val="20"/>
                  <w:lang w:eastAsia="en-GB"/>
                  <w14:ligatures w14:val="none"/>
                </w:rPr>
                <m:t>Strategic</m:t>
              </m:r>
            </m:sup>
          </m:sSup>
          <m:r>
            <w:rPr>
              <w:rFonts w:ascii="Cambria Math" w:eastAsia="Times New Roman" w:hAnsi="Cambria Math" w:cs="Calibri"/>
              <w:kern w:val="0"/>
              <w:sz w:val="20"/>
              <w:szCs w:val="20"/>
              <w:lang w:eastAsia="en-GB"/>
              <w14:ligatures w14:val="none"/>
            </w:rPr>
            <m:t>.</m:t>
          </m:r>
          <m:r>
            <w:rPr>
              <w:rFonts w:ascii="Calibri" w:eastAsia="Times New Roman" w:hAnsi="Calibri" w:cs="Calibri"/>
              <w:i/>
              <w:kern w:val="0"/>
              <w:sz w:val="20"/>
              <w:szCs w:val="20"/>
              <w:lang w:eastAsia="en-GB"/>
              <w14:ligatures w14:val="none"/>
            </w:rPr>
            <w:br/>
          </m:r>
        </m:oMath>
      </m:oMathPara>
    </w:p>
    <w:p w14:paraId="748BAA5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means:</w:t>
      </w:r>
    </w:p>
    <w:p w14:paraId="2D12EDE7" w14:textId="77777777" w:rsidR="00A27CC6" w:rsidRPr="00A27CC6" w:rsidRDefault="00A27CC6">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maximum underweight = 50% of strategic allocation; </w:t>
      </w:r>
    </w:p>
    <w:p w14:paraId="4A3D7B2D" w14:textId="77777777" w:rsidR="00A27CC6" w:rsidRPr="00A27CC6" w:rsidRDefault="00A27CC6">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neutral = 100%; </w:t>
      </w:r>
    </w:p>
    <w:p w14:paraId="33AB5965" w14:textId="77777777" w:rsidR="00A27CC6" w:rsidRPr="00A27CC6" w:rsidRDefault="00A27CC6">
      <w:pPr>
        <w:numPr>
          <w:ilvl w:val="0"/>
          <w:numId w:val="1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maximum overweight = 150%. </w:t>
      </w:r>
    </w:p>
    <w:p w14:paraId="4F914EA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Example for a sector with 10% strategic weight:</w:t>
      </w:r>
    </w:p>
    <w:p w14:paraId="148464F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Maximum underweight       5%</w:t>
      </w:r>
    </w:p>
    <w:p w14:paraId="362340D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Neutral                  10%</w:t>
      </w:r>
    </w:p>
    <w:p w14:paraId="017A2B8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Maximum overweight       15%</w:t>
      </w:r>
    </w:p>
    <w:p w14:paraId="46E59EB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These are </w:t>
      </w:r>
      <w:r w:rsidRPr="00A27CC6">
        <w:rPr>
          <w:rFonts w:ascii="Calibri" w:eastAsia="Times New Roman" w:hAnsi="Calibri" w:cs="Calibri"/>
          <w:b/>
          <w:bCs/>
          <w:kern w:val="0"/>
          <w:sz w:val="20"/>
          <w:szCs w:val="20"/>
          <w:lang w:eastAsia="en-GB"/>
          <w14:ligatures w14:val="none"/>
        </w:rPr>
        <w:t>relative weights</w:t>
      </w:r>
      <w:r w:rsidRPr="00A27CC6">
        <w:rPr>
          <w:rFonts w:ascii="Calibri" w:eastAsia="Times New Roman" w:hAnsi="Calibri" w:cs="Calibri"/>
          <w:kern w:val="0"/>
          <w:sz w:val="20"/>
          <w:szCs w:val="20"/>
          <w:lang w:eastAsia="en-GB"/>
          <w14:ligatures w14:val="none"/>
        </w:rPr>
        <w:t>, not literal short positions.</w:t>
      </w:r>
    </w:p>
    <w:p w14:paraId="7206617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078B91FD">
          <v:rect id="_x0000_i2076" style="width:0;height:1.5pt" o:hralign="center" o:hrstd="t" o:hr="t" fillcolor="#a0a0a0" stroked="f"/>
        </w:pict>
      </w:r>
    </w:p>
    <w:p w14:paraId="79D6041E"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15. Early-reversal accumulation</w:t>
      </w:r>
    </w:p>
    <w:p w14:paraId="2268F6B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When early reversal begins, gradually rebuild the sector from underweight toward neutral.</w:t>
      </w:r>
    </w:p>
    <w:p w14:paraId="2FCCF7F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w:t>
      </w:r>
    </w:p>
    <w:p w14:paraId="655258E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Bearish                  0.50 × strategic</w:t>
      </w:r>
    </w:p>
    <w:p w14:paraId="2329BEB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lastRenderedPageBreak/>
        <w:t>Early reversal week 1    0.60</w:t>
      </w:r>
    </w:p>
    <w:p w14:paraId="1386EED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Week 2                   0.70</w:t>
      </w:r>
    </w:p>
    <w:p w14:paraId="3A857EF4"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Week 3                   0.80</w:t>
      </w:r>
    </w:p>
    <w:p w14:paraId="2E64301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Week 4                   0.90</w:t>
      </w:r>
    </w:p>
    <w:p w14:paraId="5496510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Confirmed                1.00</w:t>
      </w:r>
    </w:p>
    <w:p w14:paraId="25AE5AF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This translates the original </w:t>
      </w:r>
      <w:r w:rsidRPr="00A27CC6">
        <w:rPr>
          <w:rFonts w:ascii="Calibri" w:eastAsia="Times New Roman" w:hAnsi="Calibri" w:cs="Calibri"/>
          <w:b/>
          <w:bCs/>
          <w:kern w:val="0"/>
          <w:sz w:val="20"/>
          <w:szCs w:val="20"/>
          <w:lang w:eastAsia="en-GB"/>
          <w14:ligatures w14:val="none"/>
        </w:rPr>
        <w:t>DCA accumulation philosophy</w:t>
      </w:r>
      <w:r w:rsidRPr="00A27CC6">
        <w:rPr>
          <w:rFonts w:ascii="Calibri" w:eastAsia="Times New Roman" w:hAnsi="Calibri" w:cs="Calibri"/>
          <w:kern w:val="0"/>
          <w:sz w:val="20"/>
          <w:szCs w:val="20"/>
          <w:lang w:eastAsia="en-GB"/>
          <w14:ligatures w14:val="none"/>
        </w:rPr>
        <w:t xml:space="preserve"> into active portfolio weights.</w:t>
      </w:r>
    </w:p>
    <w:p w14:paraId="2CE5B4F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confirmation occurs sooner, the model can move to the neutral allocation.</w:t>
      </w:r>
    </w:p>
    <w:p w14:paraId="035D2B4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106C4A77">
          <v:rect id="_x0000_i2077" style="width:0;height:1.5pt" o:hralign="center" o:hrstd="t" o:hr="t" fillcolor="#a0a0a0" stroked="f"/>
        </w:pict>
      </w:r>
    </w:p>
    <w:p w14:paraId="2851DC5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16. Pullback accumulation</w:t>
      </w:r>
    </w:p>
    <w:p w14:paraId="677EF37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Once an established positive trend exists, pullback accumulation should increase the position </w:t>
      </w:r>
      <w:r w:rsidRPr="00A27CC6">
        <w:rPr>
          <w:rFonts w:ascii="Calibri" w:eastAsia="Times New Roman" w:hAnsi="Calibri" w:cs="Calibri"/>
          <w:b/>
          <w:bCs/>
          <w:kern w:val="0"/>
          <w:sz w:val="20"/>
          <w:szCs w:val="20"/>
          <w:lang w:eastAsia="en-GB"/>
          <w14:ligatures w14:val="none"/>
        </w:rPr>
        <w:t>above neutral</w:t>
      </w:r>
      <w:r w:rsidRPr="00A27CC6">
        <w:rPr>
          <w:rFonts w:ascii="Calibri" w:eastAsia="Times New Roman" w:hAnsi="Calibri" w:cs="Calibri"/>
          <w:kern w:val="0"/>
          <w:sz w:val="20"/>
          <w:szCs w:val="20"/>
          <w:lang w:eastAsia="en-GB"/>
          <w14:ligatures w14:val="none"/>
        </w:rPr>
        <w:t>.</w:t>
      </w:r>
    </w:p>
    <w:p w14:paraId="0C4FBBE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w:t>
      </w:r>
    </w:p>
    <w:p w14:paraId="69E78CC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Normal trend             1.00</w:t>
      </w:r>
    </w:p>
    <w:p w14:paraId="73110A5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week 1          1.10</w:t>
      </w:r>
    </w:p>
    <w:p w14:paraId="6FC73141"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week 2          1.20</w:t>
      </w:r>
    </w:p>
    <w:p w14:paraId="47B96F8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week 3          1.30</w:t>
      </w:r>
    </w:p>
    <w:p w14:paraId="2FF8F4C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week 4          1.40</w:t>
      </w:r>
    </w:p>
    <w:p w14:paraId="7CD227A3"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Pullback week 5          1.50</w:t>
      </w:r>
    </w:p>
    <w:p w14:paraId="254799C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Maximum                  1.50</w:t>
      </w:r>
    </w:p>
    <w:p w14:paraId="46E2D04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Thus:</w:t>
      </w:r>
    </w:p>
    <w:p w14:paraId="065D89C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Early reversal accumulation</w:t>
      </w:r>
    </w:p>
    <w:p w14:paraId="4D7BDB3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Underweight→Neutral</m:t>
          </m:r>
          <m:r>
            <w:rPr>
              <w:rFonts w:ascii="Calibri" w:eastAsia="Times New Roman" w:hAnsi="Calibri" w:cs="Calibri"/>
              <w:i/>
              <w:kern w:val="0"/>
              <w:sz w:val="20"/>
              <w:szCs w:val="20"/>
              <w:lang w:eastAsia="en-GB"/>
              <w14:ligatures w14:val="none"/>
            </w:rPr>
            <w:br/>
          </m:r>
        </m:oMath>
      </m:oMathPara>
    </w:p>
    <w:p w14:paraId="23963FE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while:</w:t>
      </w:r>
    </w:p>
    <w:p w14:paraId="561E2FB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Pullback accumulation</w:t>
      </w:r>
    </w:p>
    <w:p w14:paraId="5F1AA061"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Neutral→Overweight.</m:t>
          </m:r>
          <m:r>
            <w:rPr>
              <w:rFonts w:ascii="Calibri" w:eastAsia="Times New Roman" w:hAnsi="Calibri" w:cs="Calibri"/>
              <w:i/>
              <w:kern w:val="0"/>
              <w:sz w:val="20"/>
              <w:szCs w:val="20"/>
              <w:lang w:eastAsia="en-GB"/>
              <w14:ligatures w14:val="none"/>
            </w:rPr>
            <w:br/>
          </m:r>
        </m:oMath>
      </m:oMathPara>
    </w:p>
    <w:p w14:paraId="1B879BF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an important conceptual distinction.</w:t>
      </w:r>
    </w:p>
    <w:p w14:paraId="3C76BD0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5716982">
          <v:rect id="_x0000_i2078" style="width:0;height:1.5pt" o:hralign="center" o:hrstd="t" o:hr="t" fillcolor="#a0a0a0" stroked="f"/>
        </w:pict>
      </w:r>
    </w:p>
    <w:p w14:paraId="323D8F47"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17. Profit taking</w:t>
      </w:r>
    </w:p>
    <w:p w14:paraId="7EAE6E4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Profit taking should gradually reduce an accumulated overweight.</w:t>
      </w:r>
    </w:p>
    <w:p w14:paraId="04CAAC8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Example:</w:t>
      </w:r>
    </w:p>
    <w:p w14:paraId="6E49C388"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1.50→1.40→1.30→1.20→1.10→1.00.</m:t>
          </m:r>
          <m:r>
            <w:rPr>
              <w:rFonts w:ascii="Calibri" w:eastAsia="Times New Roman" w:hAnsi="Calibri" w:cs="Calibri"/>
              <w:i/>
              <w:kern w:val="0"/>
              <w:sz w:val="20"/>
              <w:szCs w:val="20"/>
              <w:lang w:eastAsia="en-GB"/>
              <w14:ligatures w14:val="none"/>
            </w:rPr>
            <w:br/>
          </m:r>
        </m:oMath>
      </m:oMathPara>
    </w:p>
    <w:p w14:paraId="1EDF285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If deterioration continues sufficiently, the sector may eventually transition into underweight through the broader strategic signal.</w:t>
      </w:r>
    </w:p>
    <w:p w14:paraId="721BC68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profit-taking mechanism therefore </w:t>
      </w:r>
      <w:r w:rsidRPr="00A27CC6">
        <w:rPr>
          <w:rFonts w:ascii="Calibri" w:eastAsia="Times New Roman" w:hAnsi="Calibri" w:cs="Calibri"/>
          <w:b/>
          <w:bCs/>
          <w:kern w:val="0"/>
          <w:sz w:val="20"/>
          <w:szCs w:val="20"/>
          <w:lang w:eastAsia="en-GB"/>
          <w14:ligatures w14:val="none"/>
        </w:rPr>
        <w:t>releases capital for other sectors whose signals are improving</w:t>
      </w:r>
      <w:r w:rsidRPr="00A27CC6">
        <w:rPr>
          <w:rFonts w:ascii="Calibri" w:eastAsia="Times New Roman" w:hAnsi="Calibri" w:cs="Calibri"/>
          <w:kern w:val="0"/>
          <w:sz w:val="20"/>
          <w:szCs w:val="20"/>
          <w:lang w:eastAsia="en-GB"/>
          <w14:ligatures w14:val="none"/>
        </w:rPr>
        <w:t>.</w:t>
      </w:r>
    </w:p>
    <w:p w14:paraId="2E9D28D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0AE97580">
          <v:rect id="_x0000_i2079" style="width:0;height:1.5pt" o:hralign="center" o:hrstd="t" o:hr="t" fillcolor="#a0a0a0" stroked="f"/>
        </w:pict>
      </w:r>
    </w:p>
    <w:p w14:paraId="5E340E94"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18. Why fixed increments should be the first specification</w:t>
      </w:r>
    </w:p>
    <w:p w14:paraId="0E201B2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Alternative adaptive methods were discussed, including:</w:t>
      </w:r>
    </w:p>
    <w:p w14:paraId="00BDB941" w14:textId="77777777" w:rsidR="00A27CC6" w:rsidRPr="00A27CC6" w:rsidRDefault="00A27CC6">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oscillator–signal distance; </w:t>
      </w:r>
    </w:p>
    <w:p w14:paraId="0978942F" w14:textId="77777777" w:rsidR="00A27CC6" w:rsidRPr="00A27CC6" w:rsidRDefault="00A27CC6">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normalized oscillator–signal divergence; </w:t>
      </w:r>
    </w:p>
    <w:p w14:paraId="71D990EF" w14:textId="77777777" w:rsidR="00A27CC6" w:rsidRPr="00A27CC6" w:rsidRDefault="00A27CC6">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estimated time remaining until confirmation; </w:t>
      </w:r>
    </w:p>
    <w:p w14:paraId="429A1F91" w14:textId="77777777" w:rsidR="00A27CC6" w:rsidRPr="00A27CC6" w:rsidRDefault="00A27CC6">
      <w:pPr>
        <w:numPr>
          <w:ilvl w:val="0"/>
          <w:numId w:val="1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position inside the Bollinger envelope. </w:t>
      </w:r>
    </w:p>
    <w:p w14:paraId="2DB9CDC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These are potentially interesting later.</w:t>
      </w:r>
    </w:p>
    <w:p w14:paraId="4C18057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 a dimensionless oscillator/signal spread could be constructed as:</w:t>
      </w:r>
    </w:p>
    <w:p w14:paraId="509571B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Z</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m:t>
          </m:r>
          <m:f>
            <m:fPr>
              <m:ctrlPr>
                <w:rPr>
                  <w:rFonts w:ascii="Cambria Math" w:eastAsia="Times New Roman" w:hAnsi="Cambria Math" w:cs="Calibri"/>
                  <w:kern w:val="0"/>
                  <w:sz w:val="20"/>
                  <w:szCs w:val="20"/>
                  <w:lang w:eastAsia="en-GB"/>
                  <w14:ligatures w14:val="none"/>
                </w:rPr>
              </m:ctrlPr>
            </m:fPr>
            <m:num>
              <m:r>
                <w:rPr>
                  <w:rFonts w:ascii="Cambria Math" w:eastAsia="Times New Roman" w:hAnsi="Cambria Math" w:cs="Calibri"/>
                  <w:kern w:val="0"/>
                  <w:sz w:val="20"/>
                  <w:szCs w:val="20"/>
                  <w:lang w:eastAsia="en-GB"/>
                  <w14:ligatures w14:val="none"/>
                </w:rPr>
                <m:t>Oscillato</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r</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-Signa</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l</m:t>
                  </m:r>
                </m:e>
                <m:sub>
                  <m:r>
                    <w:rPr>
                      <w:rFonts w:ascii="Cambria Math" w:eastAsia="Times New Roman" w:hAnsi="Cambria Math" w:cs="Calibri"/>
                      <w:kern w:val="0"/>
                      <w:sz w:val="20"/>
                      <w:szCs w:val="20"/>
                      <w:lang w:eastAsia="en-GB"/>
                      <w14:ligatures w14:val="none"/>
                    </w:rPr>
                    <m:t>i,t</m:t>
                  </m:r>
                </m:sub>
              </m:sSub>
            </m:num>
            <m:den>
              <m:r>
                <w:rPr>
                  <w:rFonts w:ascii="Cambria Math" w:eastAsia="Times New Roman" w:hAnsi="Cambria Math" w:cs="Calibri"/>
                  <w:kern w:val="0"/>
                  <w:sz w:val="20"/>
                  <w:szCs w:val="20"/>
                  <w:lang w:eastAsia="en-GB"/>
                  <w14:ligatures w14:val="none"/>
                </w:rPr>
                <m:t>SmoothedStdDe</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v</m:t>
                  </m:r>
                </m:e>
                <m:sub>
                  <m:r>
                    <w:rPr>
                      <w:rFonts w:ascii="Cambria Math" w:eastAsia="Times New Roman" w:hAnsi="Cambria Math" w:cs="Calibri"/>
                      <w:kern w:val="0"/>
                      <w:sz w:val="20"/>
                      <w:szCs w:val="20"/>
                      <w:lang w:eastAsia="en-GB"/>
                      <w14:ligatures w14:val="none"/>
                    </w:rPr>
                    <m:t>i,t</m:t>
                  </m:r>
                </m:sub>
              </m:sSub>
            </m:den>
          </m:f>
          <m:r>
            <w:rPr>
              <w:rFonts w:ascii="Cambria Math" w:eastAsia="Times New Roman" w:hAnsi="Cambria Math" w:cs="Calibri"/>
              <w:kern w:val="0"/>
              <w:sz w:val="20"/>
              <w:szCs w:val="20"/>
              <w:lang w:eastAsia="en-GB"/>
              <w14:ligatures w14:val="none"/>
            </w:rPr>
            <m:t>.</m:t>
          </m:r>
          <m:r>
            <w:rPr>
              <w:rFonts w:ascii="Calibri" w:eastAsia="Times New Roman" w:hAnsi="Calibri" w:cs="Calibri"/>
              <w:i/>
              <w:kern w:val="0"/>
              <w:sz w:val="20"/>
              <w:szCs w:val="20"/>
              <w:lang w:eastAsia="en-GB"/>
              <w14:ligatures w14:val="none"/>
            </w:rPr>
            <w:br/>
          </m:r>
        </m:oMath>
      </m:oMathPara>
    </w:p>
    <w:p w14:paraId="1038D6D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However, </w:t>
      </w:r>
      <w:r w:rsidRPr="00A27CC6">
        <w:rPr>
          <w:rFonts w:ascii="Calibri" w:eastAsia="Times New Roman" w:hAnsi="Calibri" w:cs="Calibri"/>
          <w:b/>
          <w:bCs/>
          <w:kern w:val="0"/>
          <w:sz w:val="20"/>
          <w:szCs w:val="20"/>
          <w:lang w:eastAsia="en-GB"/>
          <w14:ligatures w14:val="none"/>
        </w:rPr>
        <w:t>do not use this in the first specification</w:t>
      </w:r>
      <w:r w:rsidRPr="00A27CC6">
        <w:rPr>
          <w:rFonts w:ascii="Calibri" w:eastAsia="Times New Roman" w:hAnsi="Calibri" w:cs="Calibri"/>
          <w:kern w:val="0"/>
          <w:sz w:val="20"/>
          <w:szCs w:val="20"/>
          <w:lang w:eastAsia="en-GB"/>
          <w14:ligatures w14:val="none"/>
        </w:rPr>
        <w:t>.</w:t>
      </w:r>
    </w:p>
    <w:p w14:paraId="6F95FF7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Fixed weekly active-weight increments are preferable because they:</w:t>
      </w:r>
    </w:p>
    <w:p w14:paraId="6877705E"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minimize parameters; </w:t>
      </w:r>
    </w:p>
    <w:p w14:paraId="491EC00E"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are transparent; </w:t>
      </w:r>
    </w:p>
    <w:p w14:paraId="3BBAC73B"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correspond naturally to DCA; </w:t>
      </w:r>
    </w:p>
    <w:p w14:paraId="0779FCBA"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are easily interpreted; </w:t>
      </w:r>
    </w:p>
    <w:p w14:paraId="6DE11A53"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reduce overfitting risk; </w:t>
      </w:r>
    </w:p>
    <w:p w14:paraId="6FBBC92D" w14:textId="77777777" w:rsidR="00A27CC6" w:rsidRPr="00A27CC6" w:rsidRDefault="00A27CC6">
      <w:pPr>
        <w:numPr>
          <w:ilvl w:val="0"/>
          <w:numId w:val="1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make results easier to defend. </w:t>
      </w:r>
    </w:p>
    <w:p w14:paraId="1221BA4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Adaptive sizing can become a robustness/extension test.</w:t>
      </w:r>
    </w:p>
    <w:p w14:paraId="32F35A02"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94D57BD">
          <v:rect id="_x0000_i2080" style="width:0;height:1.5pt" o:hralign="center" o:hrstd="t" o:hr="t" fillcolor="#a0a0a0" stroked="f"/>
        </w:pict>
      </w:r>
    </w:p>
    <w:p w14:paraId="3CD0C503"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19. Portfolio normalization</w:t>
      </w:r>
    </w:p>
    <w:p w14:paraId="3022C61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After applying active multipliers:</w:t>
      </w:r>
    </w:p>
    <w:p w14:paraId="4116AE42"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raw</m:t>
              </m:r>
            </m:sup>
          </m:sSubSup>
          <m:r>
            <w:rPr>
              <w:rFonts w:ascii="Cambria Math" w:eastAsia="Times New Roman" w:hAnsi="Cambria Math" w:cs="Calibri"/>
              <w:kern w:val="0"/>
              <w:sz w:val="20"/>
              <w:szCs w:val="20"/>
              <w:lang w:eastAsia="en-GB"/>
              <w14:ligatures w14:val="none"/>
            </w:rPr>
            <m:t>=</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1+</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Sub>
            </m:e>
          </m:d>
          <m:r>
            <w:rPr>
              <w:rFonts w:ascii="Calibri" w:eastAsia="Times New Roman" w:hAnsi="Calibri" w:cs="Calibri"/>
              <w:kern w:val="0"/>
              <w:sz w:val="20"/>
              <w:szCs w:val="20"/>
              <w:lang w:eastAsia="en-GB"/>
              <w14:ligatures w14:val="none"/>
            </w:rPr>
            <w:br/>
          </m:r>
        </m:oMath>
      </m:oMathPara>
    </w:p>
    <w:p w14:paraId="1E27F98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portfolio should remain long-only.</w:t>
      </w:r>
    </w:p>
    <w:p w14:paraId="7E9BE0C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a fully invested sector-rotation strategy, normalize:</w:t>
      </w:r>
    </w:p>
    <w:p w14:paraId="3D0AB8A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Sub>
              <m:r>
                <w:rPr>
                  <w:rFonts w:ascii="Cambria Math" w:eastAsia="Times New Roman" w:hAnsi="Cambria Math" w:cs="Calibri"/>
                  <w:kern w:val="0"/>
                  <w:sz w:val="20"/>
                  <w:szCs w:val="20"/>
                  <w:lang w:eastAsia="en-GB"/>
                  <w14:ligatures w14:val="none"/>
                </w:rPr>
                <m:t>=</m:t>
              </m:r>
              <m:f>
                <m:fPr>
                  <m:ctrlPr>
                    <w:rPr>
                      <w:rFonts w:ascii="Cambria Math" w:eastAsia="Times New Roman" w:hAnsi="Cambria Math" w:cs="Calibri"/>
                      <w:kern w:val="0"/>
                      <w:sz w:val="20"/>
                      <w:szCs w:val="20"/>
                      <w:lang w:eastAsia="en-GB"/>
                      <w14:ligatures w14:val="none"/>
                    </w:rPr>
                  </m:ctrlPr>
                </m:fPr>
                <m:num>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raw</m:t>
                      </m:r>
                    </m:sup>
                  </m:sSubSup>
                </m:num>
                <m:den>
                  <m:nary>
                    <m:naryPr>
                      <m:chr m:val="∑"/>
                      <m:limLoc m:val="undOvr"/>
                      <m:grow m:val="1"/>
                      <m:supHide m:val="1"/>
                      <m:ctrlPr>
                        <w:rPr>
                          <w:rFonts w:ascii="Cambria Math" w:eastAsia="Times New Roman" w:hAnsi="Cambria Math" w:cs="Calibri"/>
                          <w:kern w:val="0"/>
                          <w:sz w:val="20"/>
                          <w:szCs w:val="20"/>
                          <w:lang w:eastAsia="en-GB"/>
                          <w14:ligatures w14:val="none"/>
                        </w:rPr>
                      </m:ctrlPr>
                    </m:naryPr>
                    <m:sub>
                      <m:r>
                        <w:rPr>
                          <w:rFonts w:ascii="Cambria Math" w:eastAsia="Times New Roman" w:hAnsi="Cambria Math" w:cs="Calibri"/>
                          <w:kern w:val="0"/>
                          <w:sz w:val="20"/>
                          <w:szCs w:val="20"/>
                          <w:lang w:eastAsia="en-GB"/>
                          <w14:ligatures w14:val="none"/>
                        </w:rPr>
                        <m:t>j</m:t>
                      </m:r>
                    </m:sub>
                    <m:sup/>
                    <m:e>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j,t</m:t>
                          </m:r>
                        </m:sub>
                        <m:sup>
                          <m:r>
                            <w:rPr>
                              <w:rFonts w:ascii="Cambria Math" w:eastAsia="Times New Roman" w:hAnsi="Cambria Math" w:cs="Calibri"/>
                              <w:kern w:val="0"/>
                              <w:sz w:val="20"/>
                              <w:szCs w:val="20"/>
                              <w:lang w:eastAsia="en-GB"/>
                              <w14:ligatures w14:val="none"/>
                            </w:rPr>
                            <m:t>raw</m:t>
                          </m:r>
                        </m:sup>
                      </m:sSubSup>
                    </m:e>
                  </m:nary>
                </m:den>
              </m:f>
            </m:e>
          </m:borderBox>
          <m:r>
            <w:rPr>
              <w:rFonts w:ascii="Calibri" w:eastAsia="Times New Roman" w:hAnsi="Calibri" w:cs="Calibri"/>
              <w:kern w:val="0"/>
              <w:sz w:val="20"/>
              <w:szCs w:val="20"/>
              <w:lang w:eastAsia="en-GB"/>
              <w14:ligatures w14:val="none"/>
            </w:rPr>
            <w:br/>
          </m:r>
        </m:oMath>
      </m:oMathPara>
    </w:p>
    <w:p w14:paraId="5F5B162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so:</w:t>
      </w:r>
    </w:p>
    <w:p w14:paraId="446E433E"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nary>
            <m:naryPr>
              <m:chr m:val="∑"/>
              <m:limLoc m:val="undOvr"/>
              <m:grow m:val="1"/>
              <m:supHide m:val="1"/>
              <m:ctrlPr>
                <w:rPr>
                  <w:rFonts w:ascii="Cambria Math" w:eastAsia="Times New Roman" w:hAnsi="Cambria Math" w:cs="Calibri"/>
                  <w:kern w:val="0"/>
                  <w:sz w:val="20"/>
                  <w:szCs w:val="20"/>
                  <w:lang w:eastAsia="en-GB"/>
                  <w14:ligatures w14:val="none"/>
                </w:rPr>
              </m:ctrlPr>
            </m:naryPr>
            <m:sub>
              <m:r>
                <w:rPr>
                  <w:rFonts w:ascii="Cambria Math" w:eastAsia="Times New Roman" w:hAnsi="Cambria Math" w:cs="Calibri"/>
                  <w:kern w:val="0"/>
                  <w:sz w:val="20"/>
                  <w:szCs w:val="20"/>
                  <w:lang w:eastAsia="en-GB"/>
                  <w14:ligatures w14:val="none"/>
                </w:rPr>
                <m:t>i</m:t>
              </m:r>
            </m:sub>
            <m:sup/>
            <m:e>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m:t>
                  </m:r>
                </m:sub>
              </m:sSub>
            </m:e>
          </m:nary>
          <m:r>
            <w:rPr>
              <w:rFonts w:ascii="Cambria Math" w:eastAsia="Times New Roman" w:hAnsi="Cambria Math" w:cs="Calibri"/>
              <w:kern w:val="0"/>
              <w:sz w:val="20"/>
              <w:szCs w:val="20"/>
              <w:lang w:eastAsia="en-GB"/>
              <w14:ligatures w14:val="none"/>
            </w:rPr>
            <m:t>=1.</m:t>
          </m:r>
          <m:r>
            <w:rPr>
              <w:rFonts w:ascii="Calibri" w:eastAsia="Times New Roman" w:hAnsi="Calibri" w:cs="Calibri"/>
              <w:i/>
              <w:kern w:val="0"/>
              <w:sz w:val="20"/>
              <w:szCs w:val="20"/>
              <w:lang w:eastAsia="en-GB"/>
              <w14:ligatures w14:val="none"/>
            </w:rPr>
            <w:br/>
          </m:r>
        </m:oMath>
      </m:oMathPara>
    </w:p>
    <w:p w14:paraId="5516704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means overweights are effectively financed by underweights elsewhere.</w:t>
      </w:r>
    </w:p>
    <w:p w14:paraId="58DE039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It produces </w:t>
      </w:r>
      <w:r w:rsidRPr="00A27CC6">
        <w:rPr>
          <w:rFonts w:ascii="Calibri" w:eastAsia="Times New Roman" w:hAnsi="Calibri" w:cs="Calibri"/>
          <w:b/>
          <w:bCs/>
          <w:kern w:val="0"/>
          <w:sz w:val="20"/>
          <w:szCs w:val="20"/>
          <w:lang w:eastAsia="en-GB"/>
          <w14:ligatures w14:val="none"/>
        </w:rPr>
        <w:t>cross-sectional capital rotation</w:t>
      </w:r>
      <w:r w:rsidRPr="00A27CC6">
        <w:rPr>
          <w:rFonts w:ascii="Calibri" w:eastAsia="Times New Roman" w:hAnsi="Calibri" w:cs="Calibri"/>
          <w:kern w:val="0"/>
          <w:sz w:val="20"/>
          <w:szCs w:val="20"/>
          <w:lang w:eastAsia="en-GB"/>
          <w14:ligatures w14:val="none"/>
        </w:rPr>
        <w:t xml:space="preserve"> automatically.</w:t>
      </w:r>
    </w:p>
    <w:p w14:paraId="583CDA1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No literal short positions are required.</w:t>
      </w:r>
    </w:p>
    <w:p w14:paraId="3186EE69"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672BB5E4">
          <v:rect id="_x0000_i2081" style="width:0;height:1.5pt" o:hralign="center" o:hrstd="t" o:hr="t" fillcolor="#a0a0a0" stroked="f"/>
        </w:pict>
      </w:r>
    </w:p>
    <w:p w14:paraId="2074EE04"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20. Important consequence of normalization</w:t>
      </w:r>
    </w:p>
    <w:p w14:paraId="40DBC7F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Suppose Industrials and Consumer Discretionary enter attractive accumulation regimes while Utilities and Staples deteriorate.</w:t>
      </w:r>
    </w:p>
    <w:p w14:paraId="4A928D7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system does not need explicit instructions saying:</w:t>
      </w:r>
    </w:p>
    <w:p w14:paraId="734A066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Sell Utilities and buy Industrials.</w:t>
      </w:r>
    </w:p>
    <w:p w14:paraId="79E4F7D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Instead:</w:t>
      </w:r>
    </w:p>
    <w:p w14:paraId="600492C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Industrials             multiplier rises</w:t>
      </w:r>
    </w:p>
    <w:p w14:paraId="2A80960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Consumer Discretionary multiplier rises</w:t>
      </w:r>
    </w:p>
    <w:p w14:paraId="2208059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8CB98D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Utilities               multiplier falls</w:t>
      </w:r>
    </w:p>
    <w:p w14:paraId="25B4782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Consumer Staples        multiplier falls</w:t>
      </w:r>
    </w:p>
    <w:p w14:paraId="1771710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Normalization reallocates the capital automatically.</w:t>
      </w:r>
    </w:p>
    <w:p w14:paraId="760976E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is one of the central advantages of the portfolio formulation.</w:t>
      </w:r>
    </w:p>
    <w:p w14:paraId="64243F1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12EDC991">
          <v:rect id="_x0000_i2082" style="width:0;height:1.5pt" o:hralign="center" o:hrstd="t" o:hr="t" fillcolor="#a0a0a0" stroked="f"/>
        </w:pict>
      </w:r>
    </w:p>
    <w:p w14:paraId="5D94F280"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21. Interpretation of oscillator below zero</w:t>
      </w:r>
    </w:p>
    <w:p w14:paraId="36280B9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automatically set the absolute sector weight to zero.</w:t>
      </w:r>
    </w:p>
    <w:p w14:paraId="395179B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preferred interpretation is:</w:t>
      </w:r>
    </w:p>
    <w:p w14:paraId="05B6735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Oscillator&lt;0⇒</m:t>
          </m:r>
          <m:r>
            <m:rPr>
              <m:nor/>
            </m:rPr>
            <w:rPr>
              <w:rFonts w:ascii="Calibri" w:eastAsia="Times New Roman" w:hAnsi="Calibri" w:cs="Calibri"/>
              <w:kern w:val="0"/>
              <w:sz w:val="20"/>
              <w:szCs w:val="20"/>
              <w:lang w:eastAsia="en-GB"/>
              <w14:ligatures w14:val="none"/>
            </w:rPr>
            <m:t>strategic underweight</m:t>
          </m:r>
          <m:r>
            <w:rPr>
              <w:rFonts w:ascii="Cambria Math" w:eastAsia="Times New Roman" w:hAnsi="Cambria Math" w:cs="Calibri"/>
              <w:kern w:val="0"/>
              <w:sz w:val="20"/>
              <w:szCs w:val="20"/>
              <w:lang w:eastAsia="en-GB"/>
              <w14:ligatures w14:val="none"/>
            </w:rPr>
            <m:t>.</m:t>
          </m:r>
          <m:r>
            <w:rPr>
              <w:rFonts w:ascii="Calibri" w:eastAsia="Times New Roman" w:hAnsi="Calibri" w:cs="Calibri"/>
              <w:i/>
              <w:kern w:val="0"/>
              <w:sz w:val="20"/>
              <w:szCs w:val="20"/>
              <w:lang w:eastAsia="en-GB"/>
              <w14:ligatures w14:val="none"/>
            </w:rPr>
            <w:br/>
          </m:r>
        </m:oMath>
      </m:oMathPara>
    </w:p>
    <w:p w14:paraId="437383A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w:t>
      </w:r>
    </w:p>
    <w:p w14:paraId="418DAC1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w:lastRenderedPageBreak/>
            <m:t>A=-0.50</m:t>
          </m:r>
          <m:r>
            <w:rPr>
              <w:rFonts w:ascii="Calibri" w:eastAsia="Times New Roman" w:hAnsi="Calibri" w:cs="Calibri"/>
              <w:i/>
              <w:kern w:val="0"/>
              <w:sz w:val="20"/>
              <w:szCs w:val="20"/>
              <w:lang w:eastAsia="en-GB"/>
              <w14:ligatures w14:val="none"/>
            </w:rPr>
            <w:br/>
          </m:r>
        </m:oMath>
      </m:oMathPara>
    </w:p>
    <w:p w14:paraId="730F470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means the sector retains 50% of its neutral strategic allocation.</w:t>
      </w:r>
    </w:p>
    <w:p w14:paraId="2C2456C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Thus:</w:t>
      </w:r>
    </w:p>
    <w:p w14:paraId="09228AC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Bullish/accumulating        OVERWEIGHT</w:t>
      </w:r>
    </w:p>
    <w:p w14:paraId="0D32D6C1"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Ordinary positive trend     NEUTRAL</w:t>
      </w:r>
    </w:p>
    <w:p w14:paraId="72655126"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Bearish                     UNDERWEIGHT</w:t>
      </w:r>
    </w:p>
    <w:p w14:paraId="33E710F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maintains diversified U.S. equity exposure while expressing relative views.</w:t>
      </w:r>
    </w:p>
    <w:p w14:paraId="4283D99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475A7C11">
          <v:rect id="_x0000_i2083" style="width:0;height:1.5pt" o:hralign="center" o:hrstd="t" o:hr="t" fillcolor="#a0a0a0" stroked="f"/>
        </w:pict>
      </w:r>
    </w:p>
    <w:p w14:paraId="573F05E4"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22. TSMOM benchmark must also operate as an active allocator</w:t>
      </w:r>
    </w:p>
    <w:p w14:paraId="27D1D0B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comparability, avoid giving TSMOM completely different portfolio mechanics.</w:t>
      </w:r>
    </w:p>
    <w:p w14:paraId="37411B5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simple specification could be:</w:t>
      </w:r>
    </w:p>
    <w:p w14:paraId="57C2425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TSMOM</m:t>
              </m:r>
            </m:sup>
          </m:sSubSup>
          <m:r>
            <w:rPr>
              <w:rFonts w:ascii="Cambria Math" w:eastAsia="Times New Roman" w:hAnsi="Cambria Math" w:cs="Calibri"/>
              <w:kern w:val="0"/>
              <w:sz w:val="20"/>
              <w:szCs w:val="20"/>
              <w:lang w:eastAsia="en-GB"/>
              <w14:ligatures w14:val="none"/>
            </w:rPr>
            <m:t>=</m:t>
          </m:r>
          <m:d>
            <m:dPr>
              <m:begChr m:val="{"/>
              <m:endChr m:val=""/>
              <m:ctrlPr>
                <w:rPr>
                  <w:rFonts w:ascii="Cambria Math" w:eastAsia="Times New Roman" w:hAnsi="Cambria Math" w:cs="Calibri"/>
                  <w:kern w:val="0"/>
                  <w:sz w:val="20"/>
                  <w:szCs w:val="20"/>
                  <w:lang w:eastAsia="en-GB"/>
                  <w14:ligatures w14:val="none"/>
                </w:rPr>
              </m:ctrlPr>
            </m:dPr>
            <m:e>
              <m:m>
                <m:mPr>
                  <m:plcHide m:val="1"/>
                  <m:mcs>
                    <m:mc>
                      <m:mcPr>
                        <m:count m:val="2"/>
                        <m:mcJc m:val="center"/>
                      </m:mcPr>
                    </m:mc>
                  </m:mcs>
                  <m:ctrlPr>
                    <w:rPr>
                      <w:rFonts w:ascii="Cambria Math" w:eastAsia="Times New Roman" w:hAnsi="Cambria Math" w:cs="Calibri"/>
                      <w:kern w:val="0"/>
                      <w:sz w:val="20"/>
                      <w:szCs w:val="20"/>
                      <w:lang w:eastAsia="en-GB"/>
                      <w14:ligatures w14:val="none"/>
                    </w:rPr>
                  </m:ctrlPr>
                </m:mPr>
                <m:mr>
                  <m:e>
                    <m:r>
                      <w:rPr>
                        <w:rFonts w:ascii="Cambria Math" w:eastAsia="Times New Roman" w:hAnsi="Cambria Math" w:cs="Calibri"/>
                        <w:kern w:val="0"/>
                        <w:sz w:val="20"/>
                        <w:szCs w:val="20"/>
                        <w:lang w:eastAsia="en-GB"/>
                        <w14:ligatures w14:val="none"/>
                      </w:rPr>
                      <m:t>+c</m:t>
                    </m:r>
                  </m:e>
                  <m:e>
                    <m:r>
                      <w:rPr>
                        <w:rFonts w:ascii="Cambria Math" w:eastAsia="Times New Roman" w:hAnsi="Cambria Math" w:cs="Calibri"/>
                        <w:kern w:val="0"/>
                        <w:sz w:val="20"/>
                        <w:szCs w:val="20"/>
                        <w:lang w:eastAsia="en-GB"/>
                        <w14:ligatures w14:val="none"/>
                      </w:rPr>
                      <m:t>MO</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M</m:t>
                        </m:r>
                      </m:e>
                      <m:sub>
                        <m:r>
                          <w:rPr>
                            <w:rFonts w:ascii="Cambria Math" w:eastAsia="Times New Roman" w:hAnsi="Cambria Math" w:cs="Calibri"/>
                            <w:kern w:val="0"/>
                            <w:sz w:val="20"/>
                            <w:szCs w:val="20"/>
                            <w:lang w:eastAsia="en-GB"/>
                            <w14:ligatures w14:val="none"/>
                          </w:rPr>
                          <m:t>12m</m:t>
                        </m:r>
                      </m:sub>
                    </m:sSub>
                    <m:r>
                      <w:rPr>
                        <w:rFonts w:ascii="Cambria Math" w:eastAsia="Times New Roman" w:hAnsi="Cambria Math" w:cs="Calibri"/>
                        <w:kern w:val="0"/>
                        <w:sz w:val="20"/>
                        <w:szCs w:val="20"/>
                        <w:lang w:eastAsia="en-GB"/>
                        <w14:ligatures w14:val="none"/>
                      </w:rPr>
                      <m:t>&gt;0</m:t>
                    </m:r>
                  </m:e>
                </m:mr>
                <m:mr>
                  <m:e>
                    <m:r>
                      <w:rPr>
                        <w:rFonts w:ascii="Cambria Math" w:eastAsia="Times New Roman" w:hAnsi="Cambria Math" w:cs="Calibri"/>
                        <w:kern w:val="0"/>
                        <w:sz w:val="20"/>
                        <w:szCs w:val="20"/>
                        <w:lang w:eastAsia="en-GB"/>
                        <w14:ligatures w14:val="none"/>
                      </w:rPr>
                      <m:t>-c</m:t>
                    </m:r>
                  </m:e>
                  <m:e>
                    <m:r>
                      <w:rPr>
                        <w:rFonts w:ascii="Cambria Math" w:eastAsia="Times New Roman" w:hAnsi="Cambria Math" w:cs="Calibri"/>
                        <w:kern w:val="0"/>
                        <w:sz w:val="20"/>
                        <w:szCs w:val="20"/>
                        <w:lang w:eastAsia="en-GB"/>
                        <w14:ligatures w14:val="none"/>
                      </w:rPr>
                      <m:t>MO</m:t>
                    </m:r>
                    <m:sSub>
                      <m:sSubPr>
                        <m:ctrlPr>
                          <w:rPr>
                            <w:rFonts w:ascii="Cambria Math" w:eastAsia="Times New Roman" w:hAnsi="Cambria Math" w:cs="Calibri"/>
                            <w:kern w:val="0"/>
                            <w:sz w:val="20"/>
                            <w:szCs w:val="20"/>
                            <w:lang w:eastAsia="en-GB"/>
                            <w14:ligatures w14:val="none"/>
                          </w:rPr>
                        </m:ctrlPr>
                      </m:sSubPr>
                      <m:e>
                        <m:r>
                          <w:rPr>
                            <w:rFonts w:ascii="Cambria Math" w:eastAsia="Times New Roman" w:hAnsi="Cambria Math" w:cs="Calibri"/>
                            <w:kern w:val="0"/>
                            <w:sz w:val="20"/>
                            <w:szCs w:val="20"/>
                            <w:lang w:eastAsia="en-GB"/>
                            <w14:ligatures w14:val="none"/>
                          </w:rPr>
                          <m:t>M</m:t>
                        </m:r>
                      </m:e>
                      <m:sub>
                        <m:r>
                          <w:rPr>
                            <w:rFonts w:ascii="Cambria Math" w:eastAsia="Times New Roman" w:hAnsi="Cambria Math" w:cs="Calibri"/>
                            <w:kern w:val="0"/>
                            <w:sz w:val="20"/>
                            <w:szCs w:val="20"/>
                            <w:lang w:eastAsia="en-GB"/>
                            <w14:ligatures w14:val="none"/>
                          </w:rPr>
                          <m:t>12m</m:t>
                        </m:r>
                      </m:sub>
                    </m:sSub>
                    <m:r>
                      <w:rPr>
                        <w:rFonts w:ascii="Cambria Math" w:eastAsia="Times New Roman" w:hAnsi="Cambria Math" w:cs="Calibri"/>
                        <w:kern w:val="0"/>
                        <w:sz w:val="20"/>
                        <w:szCs w:val="20"/>
                        <w:lang w:eastAsia="en-GB"/>
                        <w14:ligatures w14:val="none"/>
                      </w:rPr>
                      <m:t>&lt;0</m:t>
                    </m:r>
                  </m:e>
                </m:mr>
              </m:m>
            </m:e>
          </m:d>
          <m:r>
            <w:rPr>
              <w:rFonts w:ascii="Calibri" w:eastAsia="Times New Roman" w:hAnsi="Calibri" w:cs="Calibri"/>
              <w:kern w:val="0"/>
              <w:sz w:val="20"/>
              <w:szCs w:val="20"/>
              <w:lang w:eastAsia="en-GB"/>
              <w14:ligatures w14:val="none"/>
            </w:rPr>
            <w:br/>
          </m:r>
        </m:oMath>
      </m:oMathPara>
    </w:p>
    <w:p w14:paraId="5278528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where </w:t>
      </w:r>
      <m:oMath>
        <m:r>
          <w:rPr>
            <w:rFonts w:ascii="Cambria Math" w:eastAsia="Times New Roman" w:hAnsi="Cambria Math" w:cs="Calibri"/>
            <w:kern w:val="0"/>
            <w:sz w:val="20"/>
            <w:szCs w:val="20"/>
            <w:lang w:eastAsia="en-GB"/>
            <w14:ligatures w14:val="none"/>
          </w:rPr>
          <m:t>c</m:t>
        </m:r>
      </m:oMath>
      <w:r w:rsidRPr="00A27CC6">
        <w:rPr>
          <w:rFonts w:ascii="Calibri" w:eastAsia="Times New Roman" w:hAnsi="Calibri" w:cs="Calibri"/>
          <w:kern w:val="0"/>
          <w:sz w:val="20"/>
          <w:szCs w:val="20"/>
          <w:lang w:eastAsia="en-GB"/>
          <w14:ligatures w14:val="none"/>
        </w:rPr>
        <w:t>is a pre-specified active tilt such as 25%.</w:t>
      </w:r>
    </w:p>
    <w:p w14:paraId="6D0405F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Then:</w:t>
      </w:r>
    </w:p>
    <w:p w14:paraId="4E65187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raw</m:t>
              </m:r>
            </m:sup>
          </m:sSubSup>
          <m:r>
            <w:rPr>
              <w:rFonts w:ascii="Cambria Math" w:eastAsia="Times New Roman" w:hAnsi="Cambria Math" w:cs="Calibri"/>
              <w:kern w:val="0"/>
              <w:sz w:val="20"/>
              <w:szCs w:val="20"/>
              <w:lang w:eastAsia="en-GB"/>
              <w14:ligatures w14:val="none"/>
            </w:rPr>
            <m:t>=</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w</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Strategic</m:t>
              </m:r>
            </m:sup>
          </m:sSubSup>
          <m:d>
            <m:dPr>
              <m:ctrlPr>
                <w:rPr>
                  <w:rFonts w:ascii="Cambria Math" w:eastAsia="Times New Roman" w:hAnsi="Cambria Math" w:cs="Calibri"/>
                  <w:kern w:val="0"/>
                  <w:sz w:val="20"/>
                  <w:szCs w:val="20"/>
                  <w:lang w:eastAsia="en-GB"/>
                  <w14:ligatures w14:val="none"/>
                </w:rPr>
              </m:ctrlPr>
            </m:dPr>
            <m:e>
              <m:r>
                <w:rPr>
                  <w:rFonts w:ascii="Cambria Math" w:eastAsia="Times New Roman" w:hAnsi="Cambria Math" w:cs="Calibri"/>
                  <w:kern w:val="0"/>
                  <w:sz w:val="20"/>
                  <w:szCs w:val="20"/>
                  <w:lang w:eastAsia="en-GB"/>
                  <w14:ligatures w14:val="none"/>
                </w:rPr>
                <m:t>1+</m:t>
              </m:r>
              <m:sSubSup>
                <m:sSubSupPr>
                  <m:ctrlPr>
                    <w:rPr>
                      <w:rFonts w:ascii="Cambria Math" w:eastAsia="Times New Roman" w:hAnsi="Cambria Math" w:cs="Calibri"/>
                      <w:kern w:val="0"/>
                      <w:sz w:val="20"/>
                      <w:szCs w:val="20"/>
                      <w:lang w:eastAsia="en-GB"/>
                      <w14:ligatures w14:val="none"/>
                    </w:rPr>
                  </m:ctrlPr>
                </m:sSubSupPr>
                <m:e>
                  <m:r>
                    <w:rPr>
                      <w:rFonts w:ascii="Cambria Math" w:eastAsia="Times New Roman" w:hAnsi="Cambria Math" w:cs="Calibri"/>
                      <w:kern w:val="0"/>
                      <w:sz w:val="20"/>
                      <w:szCs w:val="20"/>
                      <w:lang w:eastAsia="en-GB"/>
                      <w14:ligatures w14:val="none"/>
                    </w:rPr>
                    <m:t>A</m:t>
                  </m:r>
                </m:e>
                <m:sub>
                  <m:r>
                    <w:rPr>
                      <w:rFonts w:ascii="Cambria Math" w:eastAsia="Times New Roman" w:hAnsi="Cambria Math" w:cs="Calibri"/>
                      <w:kern w:val="0"/>
                      <w:sz w:val="20"/>
                      <w:szCs w:val="20"/>
                      <w:lang w:eastAsia="en-GB"/>
                      <w14:ligatures w14:val="none"/>
                    </w:rPr>
                    <m:t>i,t</m:t>
                  </m:r>
                </m:sub>
                <m:sup>
                  <m:r>
                    <w:rPr>
                      <w:rFonts w:ascii="Cambria Math" w:eastAsia="Times New Roman" w:hAnsi="Cambria Math" w:cs="Calibri"/>
                      <w:kern w:val="0"/>
                      <w:sz w:val="20"/>
                      <w:szCs w:val="20"/>
                      <w:lang w:eastAsia="en-GB"/>
                      <w14:ligatures w14:val="none"/>
                    </w:rPr>
                    <m:t>TSMOM</m:t>
                  </m:r>
                </m:sup>
              </m:sSubSup>
            </m:e>
          </m:d>
          <m:r>
            <w:rPr>
              <w:rFonts w:ascii="Calibri" w:eastAsia="Times New Roman" w:hAnsi="Calibri" w:cs="Calibri"/>
              <w:kern w:val="0"/>
              <w:sz w:val="20"/>
              <w:szCs w:val="20"/>
              <w:lang w:eastAsia="en-GB"/>
              <w14:ligatures w14:val="none"/>
            </w:rPr>
            <w:br/>
          </m:r>
        </m:oMath>
      </m:oMathPara>
    </w:p>
    <w:p w14:paraId="17694BC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followed by the </w:t>
      </w:r>
      <w:r w:rsidRPr="00A27CC6">
        <w:rPr>
          <w:rFonts w:ascii="Calibri" w:eastAsia="Times New Roman" w:hAnsi="Calibri" w:cs="Calibri"/>
          <w:b/>
          <w:bCs/>
          <w:kern w:val="0"/>
          <w:sz w:val="20"/>
          <w:szCs w:val="20"/>
          <w:lang w:eastAsia="en-GB"/>
          <w14:ligatures w14:val="none"/>
        </w:rPr>
        <w:t>same normalization procedure</w:t>
      </w:r>
      <w:r w:rsidRPr="00A27CC6">
        <w:rPr>
          <w:rFonts w:ascii="Calibri" w:eastAsia="Times New Roman" w:hAnsi="Calibri" w:cs="Calibri"/>
          <w:kern w:val="0"/>
          <w:sz w:val="20"/>
          <w:szCs w:val="20"/>
          <w:lang w:eastAsia="en-GB"/>
          <w14:ligatures w14:val="none"/>
        </w:rPr>
        <w:t xml:space="preserve"> used by the proposed strategy.</w:t>
      </w:r>
    </w:p>
    <w:p w14:paraId="3D8BE48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means the principal comparison is genuinely:</w:t>
      </w:r>
    </w:p>
    <w:p w14:paraId="3ACA2E5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simple binary trend information versus richer trend-state information.</w:t>
      </w:r>
    </w:p>
    <w:p w14:paraId="795F79C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5568172">
          <v:rect id="_x0000_i2084" style="width:0;height:1.5pt" o:hralign="center" o:hrstd="t" o:hr="t" fillcolor="#a0a0a0" stroked="f"/>
        </w:pict>
      </w:r>
    </w:p>
    <w:p w14:paraId="5ED04C91"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23. Avoid leverage initially</w:t>
      </w:r>
    </w:p>
    <w:p w14:paraId="78163F3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Initial portfolio constraints:</w:t>
      </w:r>
    </w:p>
    <w:p w14:paraId="0883704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LONG ONLY = True</w:t>
      </w:r>
    </w:p>
    <w:p w14:paraId="35772B3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LEVERAGE = False</w:t>
      </w:r>
    </w:p>
    <w:p w14:paraId="37C275A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GROSS EXPOSURE = 100%</w:t>
      </w:r>
    </w:p>
    <w:p w14:paraId="3A28BE9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FULLY INVESTED = True</w:t>
      </w:r>
    </w:p>
    <w:p w14:paraId="4823A94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SHORT POSITIONS = False</w:t>
      </w:r>
    </w:p>
    <w:p w14:paraId="1B21D226"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REBALANCE FREQUENCY = WEEKLY</w:t>
      </w:r>
    </w:p>
    <w:p w14:paraId="7B87CEF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Leverage/volatility targeting can be investigated later.</w:t>
      </w:r>
    </w:p>
    <w:p w14:paraId="241C182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Do not let it complicate the first experiment.</w:t>
      </w:r>
    </w:p>
    <w:p w14:paraId="64D64C3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12B0FA7D">
          <v:rect id="_x0000_i2085" style="width:0;height:1.5pt" o:hralign="center" o:hrstd="t" o:hr="t" fillcolor="#a0a0a0" stroked="f"/>
        </w:pict>
      </w:r>
    </w:p>
    <w:p w14:paraId="0C374DA7"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 xml:space="preserve">24. </w:t>
      </w:r>
      <w:proofErr w:type="spellStart"/>
      <w:r w:rsidRPr="00A27CC6">
        <w:rPr>
          <w:rFonts w:ascii="Calibri" w:eastAsia="Times New Roman" w:hAnsi="Calibri" w:cs="Calibri"/>
          <w:b/>
          <w:bCs/>
          <w:kern w:val="36"/>
          <w:sz w:val="40"/>
          <w:szCs w:val="40"/>
          <w:lang w:eastAsia="en-GB"/>
          <w14:ligatures w14:val="none"/>
        </w:rPr>
        <w:t>Colab</w:t>
      </w:r>
      <w:proofErr w:type="spellEnd"/>
      <w:r w:rsidRPr="00A27CC6">
        <w:rPr>
          <w:rFonts w:ascii="Calibri" w:eastAsia="Times New Roman" w:hAnsi="Calibri" w:cs="Calibri"/>
          <w:b/>
          <w:bCs/>
          <w:kern w:val="36"/>
          <w:sz w:val="40"/>
          <w:szCs w:val="40"/>
          <w:lang w:eastAsia="en-GB"/>
          <w14:ligatures w14:val="none"/>
        </w:rPr>
        <w:t xml:space="preserve"> is the preferred initial research environment</w:t>
      </w:r>
    </w:p>
    <w:p w14:paraId="40AAA77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Build the project in </w:t>
      </w:r>
      <w:r w:rsidRPr="00A27CC6">
        <w:rPr>
          <w:rFonts w:ascii="Calibri" w:eastAsia="Times New Roman" w:hAnsi="Calibri" w:cs="Calibri"/>
          <w:b/>
          <w:bCs/>
          <w:kern w:val="0"/>
          <w:sz w:val="20"/>
          <w:szCs w:val="20"/>
          <w:lang w:eastAsia="en-GB"/>
          <w14:ligatures w14:val="none"/>
        </w:rPr>
        <w:t xml:space="preserve">Google </w:t>
      </w:r>
      <w:proofErr w:type="spellStart"/>
      <w:r w:rsidRPr="00A27CC6">
        <w:rPr>
          <w:rFonts w:ascii="Calibri" w:eastAsia="Times New Roman" w:hAnsi="Calibri" w:cs="Calibri"/>
          <w:b/>
          <w:bCs/>
          <w:kern w:val="0"/>
          <w:sz w:val="20"/>
          <w:szCs w:val="20"/>
          <w:lang w:eastAsia="en-GB"/>
          <w14:ligatures w14:val="none"/>
        </w:rPr>
        <w:t>Colab</w:t>
      </w:r>
      <w:proofErr w:type="spellEnd"/>
      <w:r w:rsidRPr="00A27CC6">
        <w:rPr>
          <w:rFonts w:ascii="Calibri" w:eastAsia="Times New Roman" w:hAnsi="Calibri" w:cs="Calibri"/>
          <w:kern w:val="0"/>
          <w:sz w:val="20"/>
          <w:szCs w:val="20"/>
          <w:lang w:eastAsia="en-GB"/>
          <w14:ligatures w14:val="none"/>
        </w:rPr>
        <w:t xml:space="preserve">, rather than </w:t>
      </w:r>
      <w:proofErr w:type="spellStart"/>
      <w:r w:rsidRPr="00A27CC6">
        <w:rPr>
          <w:rFonts w:ascii="Calibri" w:eastAsia="Times New Roman" w:hAnsi="Calibri" w:cs="Calibri"/>
          <w:kern w:val="0"/>
          <w:sz w:val="20"/>
          <w:szCs w:val="20"/>
          <w:lang w:eastAsia="en-GB"/>
          <w14:ligatures w14:val="none"/>
        </w:rPr>
        <w:t>QuantConnect</w:t>
      </w:r>
      <w:proofErr w:type="spellEnd"/>
      <w:r w:rsidRPr="00A27CC6">
        <w:rPr>
          <w:rFonts w:ascii="Calibri" w:eastAsia="Times New Roman" w:hAnsi="Calibri" w:cs="Calibri"/>
          <w:kern w:val="0"/>
          <w:sz w:val="20"/>
          <w:szCs w:val="20"/>
          <w:lang w:eastAsia="en-GB"/>
          <w14:ligatures w14:val="none"/>
        </w:rPr>
        <w:t xml:space="preserve"> first.</w:t>
      </w:r>
    </w:p>
    <w:p w14:paraId="6DE6F84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Reasons:</w:t>
      </w:r>
    </w:p>
    <w:p w14:paraId="50CFFEFB"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easier pandas-based portfolio research; </w:t>
      </w:r>
    </w:p>
    <w:p w14:paraId="5675C3C4"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straightforward manipulation of weekly matrices; </w:t>
      </w:r>
    </w:p>
    <w:p w14:paraId="7EE41535"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easy inspection of signals; </w:t>
      </w:r>
    </w:p>
    <w:p w14:paraId="0F0E9EBF"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easier performance attribution; </w:t>
      </w:r>
    </w:p>
    <w:p w14:paraId="3EECCF0B"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easier debugging; </w:t>
      </w:r>
    </w:p>
    <w:p w14:paraId="1DCFA1AE"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simpler visualization; </w:t>
      </w:r>
    </w:p>
    <w:p w14:paraId="417A4B08"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no major individual-stock survivorship problem; </w:t>
      </w:r>
    </w:p>
    <w:p w14:paraId="0B9D3BF0"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universe consists of a small number of liquid ETFs; </w:t>
      </w:r>
    </w:p>
    <w:p w14:paraId="2A112B59" w14:textId="77777777" w:rsidR="00A27CC6" w:rsidRPr="00A27CC6" w:rsidRDefault="00A27CC6">
      <w:pPr>
        <w:numPr>
          <w:ilvl w:val="0"/>
          <w:numId w:val="1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easier experimentation with weighting methodology. </w:t>
      </w:r>
    </w:p>
    <w:p w14:paraId="6FB8C1E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A27CC6">
        <w:rPr>
          <w:rFonts w:ascii="Calibri" w:eastAsia="Times New Roman" w:hAnsi="Calibri" w:cs="Calibri"/>
          <w:kern w:val="0"/>
          <w:sz w:val="20"/>
          <w:szCs w:val="20"/>
          <w:lang w:eastAsia="en-GB"/>
          <w14:ligatures w14:val="none"/>
        </w:rPr>
        <w:t>QuantConnect</w:t>
      </w:r>
      <w:proofErr w:type="spellEnd"/>
      <w:r w:rsidRPr="00A27CC6">
        <w:rPr>
          <w:rFonts w:ascii="Calibri" w:eastAsia="Times New Roman" w:hAnsi="Calibri" w:cs="Calibri"/>
          <w:kern w:val="0"/>
          <w:sz w:val="20"/>
          <w:szCs w:val="20"/>
          <w:lang w:eastAsia="en-GB"/>
          <w14:ligatures w14:val="none"/>
        </w:rPr>
        <w:t xml:space="preserve"> can subsequently be used to validate the final strategy as an executable implementation.</w:t>
      </w:r>
    </w:p>
    <w:p w14:paraId="1DF3D38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A863B7E">
          <v:rect id="_x0000_i2086" style="width:0;height:1.5pt" o:hralign="center" o:hrstd="t" o:hr="t" fillcolor="#a0a0a0" stroked="f"/>
        </w:pict>
      </w:r>
    </w:p>
    <w:p w14:paraId="2E077BDA"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 xml:space="preserve">25. Suggested </w:t>
      </w:r>
      <w:proofErr w:type="spellStart"/>
      <w:r w:rsidRPr="00A27CC6">
        <w:rPr>
          <w:rFonts w:ascii="Calibri" w:eastAsia="Times New Roman" w:hAnsi="Calibri" w:cs="Calibri"/>
          <w:b/>
          <w:bCs/>
          <w:kern w:val="36"/>
          <w:sz w:val="40"/>
          <w:szCs w:val="40"/>
          <w:lang w:eastAsia="en-GB"/>
          <w14:ligatures w14:val="none"/>
        </w:rPr>
        <w:t>Colab</w:t>
      </w:r>
      <w:proofErr w:type="spellEnd"/>
      <w:r w:rsidRPr="00A27CC6">
        <w:rPr>
          <w:rFonts w:ascii="Calibri" w:eastAsia="Times New Roman" w:hAnsi="Calibri" w:cs="Calibri"/>
          <w:b/>
          <w:bCs/>
          <w:kern w:val="36"/>
          <w:sz w:val="40"/>
          <w:szCs w:val="40"/>
          <w:lang w:eastAsia="en-GB"/>
          <w14:ligatures w14:val="none"/>
        </w:rPr>
        <w:t xml:space="preserve"> notebook architecture</w:t>
      </w:r>
    </w:p>
    <w:p w14:paraId="7027137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Keep the notebook modular.</w:t>
      </w:r>
    </w:p>
    <w:p w14:paraId="2621A733"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1 — Research Configuration</w:t>
      </w:r>
    </w:p>
    <w:p w14:paraId="74181E9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Top-of-notebook configuration should contain all important choices.</w:t>
      </w:r>
    </w:p>
    <w:p w14:paraId="5C59DF7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w:t>
      </w:r>
    </w:p>
    <w:p w14:paraId="7EDDDD9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START_DATE = ...</w:t>
      </w:r>
    </w:p>
    <w:p w14:paraId="208A1CF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END_DATE = ...</w:t>
      </w:r>
    </w:p>
    <w:p w14:paraId="6D86953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F1806A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REBALANCE_FREQUENCY = "WEEKLY"</w:t>
      </w:r>
    </w:p>
    <w:p w14:paraId="37C3DED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0493526"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STRATEGIC_WEIGHT_METHOD = "SP500_SECTOR_WEIGHTS"</w:t>
      </w:r>
    </w:p>
    <w:p w14:paraId="4388D87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73E5D34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ACTIVE_WEIGHT_MIN = -0.50</w:t>
      </w:r>
    </w:p>
    <w:p w14:paraId="52E6460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ACTIVE_WEIGHT_MAX = +0.50</w:t>
      </w:r>
    </w:p>
    <w:p w14:paraId="67190CC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ACTIVE_STEP = 0.10</w:t>
      </w:r>
    </w:p>
    <w:p w14:paraId="470B00E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0C2EB85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TSMOM_LOOKBACK_MONTHS = 12</w:t>
      </w:r>
    </w:p>
    <w:p w14:paraId="7762EFA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TSMOM_ACTIVE_TILT = 0.25</w:t>
      </w:r>
    </w:p>
    <w:p w14:paraId="29915BF3"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4881314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TRANSACTION_COST_BPS = ...</w:t>
      </w:r>
    </w:p>
    <w:p w14:paraId="1F4B320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Signal parameters should also be centralized.</w:t>
      </w:r>
    </w:p>
    <w:p w14:paraId="22CAFED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AA51F72">
          <v:rect id="_x0000_i2087" style="width:0;height:1.5pt" o:hralign="center" o:hrstd="t" o:hr="t" fillcolor="#a0a0a0" stroked="f"/>
        </w:pict>
      </w:r>
    </w:p>
    <w:p w14:paraId="609FAF89"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lastRenderedPageBreak/>
        <w:t>Block 2 — Universe &amp; Data</w:t>
      </w:r>
    </w:p>
    <w:p w14:paraId="691DF96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Define the 11-sector universe.</w:t>
      </w:r>
    </w:p>
    <w:p w14:paraId="3DF5CE1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Retrieve:</w:t>
      </w:r>
    </w:p>
    <w:p w14:paraId="19EF405D" w14:textId="77777777" w:rsidR="00A27CC6" w:rsidRPr="00A27CC6" w:rsidRDefault="00A27CC6">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adjusted ETF prices; </w:t>
      </w:r>
    </w:p>
    <w:p w14:paraId="0A84EFA1" w14:textId="77777777" w:rsidR="00A27CC6" w:rsidRPr="00A27CC6" w:rsidRDefault="00A27CC6">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S&amp;P 500 benchmark; </w:t>
      </w:r>
    </w:p>
    <w:p w14:paraId="28E99DAD" w14:textId="77777777" w:rsidR="00A27CC6" w:rsidRPr="00A27CC6" w:rsidRDefault="00A27CC6">
      <w:pPr>
        <w:numPr>
          <w:ilvl w:val="0"/>
          <w:numId w:val="1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required historical sector weights if available. </w:t>
      </w:r>
    </w:p>
    <w:p w14:paraId="2552B37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Perform data validation.</w:t>
      </w:r>
    </w:p>
    <w:p w14:paraId="70BAB55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BB44DFA">
          <v:rect id="_x0000_i2088" style="width:0;height:1.5pt" o:hralign="center" o:hrstd="t" o:hr="t" fillcolor="#a0a0a0" stroked="f"/>
        </w:pict>
      </w:r>
    </w:p>
    <w:p w14:paraId="45CC9D48"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3 — Weekly Price Engine</w:t>
      </w:r>
    </w:p>
    <w:p w14:paraId="55BAAD9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Convert/align data to weekly observations.</w:t>
      </w:r>
    </w:p>
    <w:p w14:paraId="75A2834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Ensure all decisions use point-in-time information.</w:t>
      </w:r>
    </w:p>
    <w:p w14:paraId="7692F33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F204983">
          <v:rect id="_x0000_i2089" style="width:0;height:1.5pt" o:hralign="center" o:hrstd="t" o:hr="t" fillcolor="#a0a0a0" stroked="f"/>
        </w:pict>
      </w:r>
    </w:p>
    <w:p w14:paraId="7E895646"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4 — Strategic Weight Engine</w:t>
      </w:r>
    </w:p>
    <w:p w14:paraId="75BFBEC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Calculate/import neutral strategic weights.</w:t>
      </w:r>
    </w:p>
    <w:p w14:paraId="5806C22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If S&amp;P 500 historical sector weights are available:</w:t>
      </w:r>
    </w:p>
    <w:p w14:paraId="1653B86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sSup>
            <m:sSupPr>
              <m:ctrlPr>
                <w:rPr>
                  <w:rFonts w:ascii="Cambria Math" w:eastAsia="Times New Roman" w:hAnsi="Cambria Math" w:cs="Calibri"/>
                  <w:kern w:val="0"/>
                  <w:sz w:val="20"/>
                  <w:szCs w:val="20"/>
                  <w:lang w:eastAsia="en-GB"/>
                  <w14:ligatures w14:val="none"/>
                </w:rPr>
              </m:ctrlPr>
            </m:sSupPr>
            <m:e>
              <m:r>
                <w:rPr>
                  <w:rFonts w:ascii="Cambria Math" w:eastAsia="Times New Roman" w:hAnsi="Cambria Math" w:cs="Calibri"/>
                  <w:kern w:val="0"/>
                  <w:sz w:val="20"/>
                  <w:szCs w:val="20"/>
                  <w:lang w:eastAsia="en-GB"/>
                  <w14:ligatures w14:val="none"/>
                </w:rPr>
                <m:t>w</m:t>
              </m:r>
            </m:e>
            <m:sup>
              <m:r>
                <w:rPr>
                  <w:rFonts w:ascii="Cambria Math" w:eastAsia="Times New Roman" w:hAnsi="Cambria Math" w:cs="Calibri"/>
                  <w:kern w:val="0"/>
                  <w:sz w:val="20"/>
                  <w:szCs w:val="20"/>
                  <w:lang w:eastAsia="en-GB"/>
                  <w14:ligatures w14:val="none"/>
                </w:rPr>
                <m:t>Strategic</m:t>
              </m:r>
            </m:sup>
          </m:sSup>
          <m:r>
            <w:rPr>
              <w:rFonts w:ascii="Cambria Math" w:eastAsia="Times New Roman" w:hAnsi="Cambria Math" w:cs="Calibri"/>
              <w:kern w:val="0"/>
              <w:sz w:val="20"/>
              <w:szCs w:val="20"/>
              <w:lang w:eastAsia="en-GB"/>
              <w14:ligatures w14:val="none"/>
            </w:rPr>
            <m:t>=</m:t>
          </m:r>
          <m:sSup>
            <m:sSupPr>
              <m:ctrlPr>
                <w:rPr>
                  <w:rFonts w:ascii="Cambria Math" w:eastAsia="Times New Roman" w:hAnsi="Cambria Math" w:cs="Calibri"/>
                  <w:kern w:val="0"/>
                  <w:sz w:val="20"/>
                  <w:szCs w:val="20"/>
                  <w:lang w:eastAsia="en-GB"/>
                  <w14:ligatures w14:val="none"/>
                </w:rPr>
              </m:ctrlPr>
            </m:sSupPr>
            <m:e>
              <m:r>
                <w:rPr>
                  <w:rFonts w:ascii="Cambria Math" w:eastAsia="Times New Roman" w:hAnsi="Cambria Math" w:cs="Calibri"/>
                  <w:kern w:val="0"/>
                  <w:sz w:val="20"/>
                  <w:szCs w:val="20"/>
                  <w:lang w:eastAsia="en-GB"/>
                  <w14:ligatures w14:val="none"/>
                </w:rPr>
                <m:t>w</m:t>
              </m:r>
            </m:e>
            <m:sup>
              <m:r>
                <w:rPr>
                  <w:rFonts w:ascii="Cambria Math" w:eastAsia="Times New Roman" w:hAnsi="Cambria Math" w:cs="Calibri"/>
                  <w:kern w:val="0"/>
                  <w:sz w:val="20"/>
                  <w:szCs w:val="20"/>
                  <w:lang w:eastAsia="en-GB"/>
                  <w14:ligatures w14:val="none"/>
                </w:rPr>
                <m:t>S</m:t>
              </m:r>
              <m:r>
                <m:rPr>
                  <m:lit/>
                </m:rPr>
                <w:rPr>
                  <w:rFonts w:ascii="Cambria Math" w:eastAsia="Times New Roman" w:hAnsi="Cambria Math" w:cs="Calibri"/>
                  <w:kern w:val="0"/>
                  <w:sz w:val="20"/>
                  <w:szCs w:val="20"/>
                  <w:lang w:eastAsia="en-GB"/>
                  <w14:ligatures w14:val="none"/>
                </w:rPr>
                <m:t>&amp;</m:t>
              </m:r>
              <m:r>
                <w:rPr>
                  <w:rFonts w:ascii="Cambria Math" w:eastAsia="Times New Roman" w:hAnsi="Cambria Math" w:cs="Calibri"/>
                  <w:kern w:val="0"/>
                  <w:sz w:val="20"/>
                  <w:szCs w:val="20"/>
                  <w:lang w:eastAsia="en-GB"/>
                  <w14:ligatures w14:val="none"/>
                </w:rPr>
                <m:t>P500Sector</m:t>
              </m:r>
            </m:sup>
          </m:sSup>
          <m:r>
            <w:rPr>
              <w:rFonts w:ascii="Cambria Math" w:eastAsia="Times New Roman" w:hAnsi="Cambria Math" w:cs="Calibri"/>
              <w:kern w:val="0"/>
              <w:sz w:val="20"/>
              <w:szCs w:val="20"/>
              <w:lang w:eastAsia="en-GB"/>
              <w14:ligatures w14:val="none"/>
            </w:rPr>
            <m:t>.</m:t>
          </m:r>
          <m:r>
            <w:rPr>
              <w:rFonts w:ascii="Calibri" w:eastAsia="Times New Roman" w:hAnsi="Calibri" w:cs="Calibri"/>
              <w:i/>
              <w:kern w:val="0"/>
              <w:sz w:val="20"/>
              <w:szCs w:val="20"/>
              <w:lang w:eastAsia="en-GB"/>
              <w14:ligatures w14:val="none"/>
            </w:rPr>
            <w:br/>
          </m:r>
        </m:oMath>
      </m:oMathPara>
    </w:p>
    <w:p w14:paraId="24D6E80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Otherwise use the documented alternative.</w:t>
      </w:r>
    </w:p>
    <w:p w14:paraId="6390BB8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54B0EA53">
          <v:rect id="_x0000_i2090" style="width:0;height:1.5pt" o:hralign="center" o:hrstd="t" o:hr="t" fillcolor="#a0a0a0" stroked="f"/>
        </w:pict>
      </w:r>
    </w:p>
    <w:p w14:paraId="4277C3A0"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5 — Traditional TSMOM Signal</w:t>
      </w:r>
    </w:p>
    <w:p w14:paraId="07989BD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Calculate 12-month time-series momentum for every sector.</w:t>
      </w:r>
    </w:p>
    <w:p w14:paraId="049EF18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Translate signal into active multipliers.</w:t>
      </w:r>
    </w:p>
    <w:p w14:paraId="60A495E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21A53C9">
          <v:rect id="_x0000_i2091" style="width:0;height:1.5pt" o:hralign="center" o:hrstd="t" o:hr="t" fillcolor="#a0a0a0" stroked="f"/>
        </w:pict>
      </w:r>
    </w:p>
    <w:p w14:paraId="25174178"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6 — Proprietary Indicator Engine</w:t>
      </w:r>
    </w:p>
    <w:p w14:paraId="083752D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Calculate for every sector:</w:t>
      </w:r>
    </w:p>
    <w:p w14:paraId="4D70D492"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proofErr w:type="spellStart"/>
      <w:r w:rsidRPr="00A27CC6">
        <w:rPr>
          <w:rFonts w:ascii="Calibri" w:eastAsia="Times New Roman" w:hAnsi="Calibri" w:cs="Calibri"/>
          <w:kern w:val="0"/>
          <w:sz w:val="20"/>
          <w:szCs w:val="20"/>
          <w:lang w:eastAsia="en-GB"/>
          <w14:ligatures w14:val="none"/>
        </w:rPr>
        <w:t>SuperSmoother</w:t>
      </w:r>
      <w:proofErr w:type="spellEnd"/>
      <w:r w:rsidRPr="00A27CC6">
        <w:rPr>
          <w:rFonts w:ascii="Calibri" w:eastAsia="Times New Roman" w:hAnsi="Calibri" w:cs="Calibri"/>
          <w:kern w:val="0"/>
          <w:sz w:val="20"/>
          <w:szCs w:val="20"/>
          <w:lang w:eastAsia="en-GB"/>
          <w14:ligatures w14:val="none"/>
        </w:rPr>
        <w:t xml:space="preserve"> price; </w:t>
      </w:r>
    </w:p>
    <w:p w14:paraId="7C97CB2A"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fast EMA; </w:t>
      </w:r>
    </w:p>
    <w:p w14:paraId="6659FA33"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slow EMA; </w:t>
      </w:r>
    </w:p>
    <w:p w14:paraId="24E05EC1"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oscillator; </w:t>
      </w:r>
    </w:p>
    <w:p w14:paraId="4E9FDEFD"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signal line; </w:t>
      </w:r>
    </w:p>
    <w:p w14:paraId="663A77AF"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upper/lower envelope; </w:t>
      </w:r>
    </w:p>
    <w:p w14:paraId="6C0E645D"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 xml:space="preserve">direction; </w:t>
      </w:r>
    </w:p>
    <w:p w14:paraId="7F2D4449" w14:textId="77777777" w:rsidR="00A27CC6" w:rsidRPr="00A27CC6" w:rsidRDefault="00A27CC6">
      <w:pPr>
        <w:numPr>
          <w:ilvl w:val="0"/>
          <w:numId w:val="1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regime transitions. </w:t>
      </w:r>
    </w:p>
    <w:p w14:paraId="06A1922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670D137E">
          <v:rect id="_x0000_i2092" style="width:0;height:1.5pt" o:hralign="center" o:hrstd="t" o:hr="t" fillcolor="#a0a0a0" stroked="f"/>
        </w:pict>
      </w:r>
    </w:p>
    <w:p w14:paraId="7F703F06"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7 — State Machine</w:t>
      </w:r>
    </w:p>
    <w:p w14:paraId="102EC21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Track each sector independently through:</w:t>
      </w:r>
    </w:p>
    <w:p w14:paraId="6CD9B2F7"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bearish; </w:t>
      </w:r>
    </w:p>
    <w:p w14:paraId="76B3A52A"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early reversal; </w:t>
      </w:r>
    </w:p>
    <w:p w14:paraId="64D42AC6"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confirmed trend; </w:t>
      </w:r>
    </w:p>
    <w:p w14:paraId="3A79EB23"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normal positive trend; </w:t>
      </w:r>
    </w:p>
    <w:p w14:paraId="723E6532"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pullback accumulation; </w:t>
      </w:r>
    </w:p>
    <w:p w14:paraId="5EBD13F1" w14:textId="77777777" w:rsidR="00A27CC6" w:rsidRPr="00A27CC6" w:rsidRDefault="00A27CC6">
      <w:pPr>
        <w:numPr>
          <w:ilvl w:val="0"/>
          <w:numId w:val="1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profit taking. </w:t>
      </w:r>
    </w:p>
    <w:p w14:paraId="16B2EA3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This should be a </w:t>
      </w:r>
      <w:r w:rsidRPr="00A27CC6">
        <w:rPr>
          <w:rFonts w:ascii="Calibri" w:eastAsia="Times New Roman" w:hAnsi="Calibri" w:cs="Calibri"/>
          <w:b/>
          <w:bCs/>
          <w:kern w:val="0"/>
          <w:sz w:val="20"/>
          <w:szCs w:val="20"/>
          <w:lang w:eastAsia="en-GB"/>
          <w14:ligatures w14:val="none"/>
        </w:rPr>
        <w:t>true state machine</w:t>
      </w:r>
      <w:r w:rsidRPr="00A27CC6">
        <w:rPr>
          <w:rFonts w:ascii="Calibri" w:eastAsia="Times New Roman" w:hAnsi="Calibri" w:cs="Calibri"/>
          <w:kern w:val="0"/>
          <w:sz w:val="20"/>
          <w:szCs w:val="20"/>
          <w:lang w:eastAsia="en-GB"/>
          <w14:ligatures w14:val="none"/>
        </w:rPr>
        <w:t>, rather than mixing strategic state and tactical flags as occurred in the earlier BTC implementation.</w:t>
      </w:r>
    </w:p>
    <w:p w14:paraId="68D09F9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BB1C1EE">
          <v:rect id="_x0000_i2093" style="width:0;height:1.5pt" o:hralign="center" o:hrstd="t" o:hr="t" fillcolor="#a0a0a0" stroked="f"/>
        </w:pict>
      </w:r>
    </w:p>
    <w:p w14:paraId="2686581E"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8 — Active Weight Engine</w:t>
      </w:r>
    </w:p>
    <w:p w14:paraId="0AEF339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Translate indicator states into weekly active multipliers.</w:t>
      </w:r>
    </w:p>
    <w:p w14:paraId="159B06A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Store both:</w:t>
      </w:r>
    </w:p>
    <w:p w14:paraId="775A92C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strategic_weight</w:t>
      </w:r>
      <w:proofErr w:type="spellEnd"/>
    </w:p>
    <w:p w14:paraId="68BE986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active_multiplier</w:t>
      </w:r>
      <w:proofErr w:type="spellEnd"/>
    </w:p>
    <w:p w14:paraId="72EA018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raw_target_weight</w:t>
      </w:r>
      <w:proofErr w:type="spellEnd"/>
    </w:p>
    <w:p w14:paraId="1649B53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normalized_target_weight</w:t>
      </w:r>
      <w:proofErr w:type="spellEnd"/>
    </w:p>
    <w:p w14:paraId="24BAE8A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every sector/date.</w:t>
      </w:r>
    </w:p>
    <w:p w14:paraId="317C6CC5"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6D69BCA5">
          <v:rect id="_x0000_i2094" style="width:0;height:1.5pt" o:hralign="center" o:hrstd="t" o:hr="t" fillcolor="#a0a0a0" stroked="f"/>
        </w:pict>
      </w:r>
    </w:p>
    <w:p w14:paraId="0D657F16"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9 — Portfolio Engine</w:t>
      </w:r>
    </w:p>
    <w:p w14:paraId="09C9275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Construct:</w:t>
      </w:r>
    </w:p>
    <w:p w14:paraId="04F6FEDD" w14:textId="77777777" w:rsidR="00A27CC6" w:rsidRPr="00A27CC6" w:rsidRDefault="00A27CC6">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S&amp;P 500 benchmark; </w:t>
      </w:r>
    </w:p>
    <w:p w14:paraId="129C17FD" w14:textId="77777777" w:rsidR="00A27CC6" w:rsidRPr="00A27CC6" w:rsidRDefault="00A27CC6">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TSMOM rotation; </w:t>
      </w:r>
    </w:p>
    <w:p w14:paraId="09510521" w14:textId="77777777" w:rsidR="00A27CC6" w:rsidRPr="00A27CC6" w:rsidRDefault="00A27CC6">
      <w:pPr>
        <w:numPr>
          <w:ilvl w:val="0"/>
          <w:numId w:val="1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proposed state-dependent rotation. </w:t>
      </w:r>
    </w:p>
    <w:p w14:paraId="043E69A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Apply weekly rebalancing and transaction-cost assumptions.</w:t>
      </w:r>
    </w:p>
    <w:p w14:paraId="6967FB0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0C770972">
          <v:rect id="_x0000_i2095" style="width:0;height:1.5pt" o:hralign="center" o:hrstd="t" o:hr="t" fillcolor="#a0a0a0" stroked="f"/>
        </w:pict>
      </w:r>
    </w:p>
    <w:p w14:paraId="5515B001"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10 — Performance Analytics</w:t>
      </w:r>
    </w:p>
    <w:p w14:paraId="3C0DF14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Calculate at minimum:</w:t>
      </w:r>
    </w:p>
    <w:p w14:paraId="7DED0AC0"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cumulative return; </w:t>
      </w:r>
    </w:p>
    <w:p w14:paraId="09C2542D"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CAGR; </w:t>
      </w:r>
    </w:p>
    <w:p w14:paraId="7F23EF87"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 xml:space="preserve">annualized volatility; </w:t>
      </w:r>
    </w:p>
    <w:p w14:paraId="20A8FC31"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Sharpe ratio; </w:t>
      </w:r>
    </w:p>
    <w:p w14:paraId="0DDF97E1"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Sortino ratio; </w:t>
      </w:r>
    </w:p>
    <w:p w14:paraId="55D24F6E"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maximum drawdown; </w:t>
      </w:r>
    </w:p>
    <w:p w14:paraId="003E0DC0"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Calmar ratio; </w:t>
      </w:r>
    </w:p>
    <w:p w14:paraId="67A2299B"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turnover; </w:t>
      </w:r>
    </w:p>
    <w:p w14:paraId="53231B9E"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tracking error versus S&amp;P 500; </w:t>
      </w:r>
    </w:p>
    <w:p w14:paraId="04E74B60" w14:textId="77777777" w:rsidR="00A27CC6" w:rsidRPr="00A27CC6" w:rsidRDefault="00A27CC6">
      <w:pPr>
        <w:numPr>
          <w:ilvl w:val="0"/>
          <w:numId w:val="1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information ratio versus S&amp;P 500. </w:t>
      </w:r>
    </w:p>
    <w:p w14:paraId="3843669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For this project, </w:t>
      </w:r>
      <w:r w:rsidRPr="00A27CC6">
        <w:rPr>
          <w:rFonts w:ascii="Calibri" w:eastAsia="Times New Roman" w:hAnsi="Calibri" w:cs="Calibri"/>
          <w:b/>
          <w:bCs/>
          <w:kern w:val="0"/>
          <w:sz w:val="20"/>
          <w:szCs w:val="20"/>
          <w:lang w:eastAsia="en-GB"/>
          <w14:ligatures w14:val="none"/>
        </w:rPr>
        <w:t>information ratio is particularly important</w:t>
      </w:r>
      <w:r w:rsidRPr="00A27CC6">
        <w:rPr>
          <w:rFonts w:ascii="Calibri" w:eastAsia="Times New Roman" w:hAnsi="Calibri" w:cs="Calibri"/>
          <w:kern w:val="0"/>
          <w:sz w:val="20"/>
          <w:szCs w:val="20"/>
          <w:lang w:eastAsia="en-GB"/>
          <w14:ligatures w14:val="none"/>
        </w:rPr>
        <w:t xml:space="preserve"> because the strategy is explicitly an active allocation around a market benchmark.</w:t>
      </w:r>
    </w:p>
    <w:p w14:paraId="0CC351A0"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4DB2057F">
          <v:rect id="_x0000_i2096" style="width:0;height:1.5pt" o:hralign="center" o:hrstd="t" o:hr="t" fillcolor="#a0a0a0" stroked="f"/>
        </w:pict>
      </w:r>
    </w:p>
    <w:p w14:paraId="3C1F2564"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11 — Performance Attribution</w:t>
      </w:r>
    </w:p>
    <w:p w14:paraId="11EA44F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should be a major part of the notebook.</w:t>
      </w:r>
    </w:p>
    <w:p w14:paraId="6365B20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every week/sector retain:</w:t>
      </w:r>
    </w:p>
    <w:p w14:paraId="4F6C2DC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date</w:t>
      </w:r>
    </w:p>
    <w:p w14:paraId="0426219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sector</w:t>
      </w:r>
    </w:p>
    <w:p w14:paraId="45E2501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price</w:t>
      </w:r>
    </w:p>
    <w:p w14:paraId="1627D78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weekly_return</w:t>
      </w:r>
      <w:proofErr w:type="spellEnd"/>
    </w:p>
    <w:p w14:paraId="118426F8"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15D7B22B"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strategic_weight</w:t>
      </w:r>
      <w:proofErr w:type="spellEnd"/>
    </w:p>
    <w:p w14:paraId="0EDAC65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active_multiplier</w:t>
      </w:r>
      <w:proofErr w:type="spellEnd"/>
    </w:p>
    <w:p w14:paraId="79F772E2"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target_weight</w:t>
      </w:r>
      <w:proofErr w:type="spellEnd"/>
    </w:p>
    <w:p w14:paraId="24FF374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DF9275D"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oscillator</w:t>
      </w:r>
    </w:p>
    <w:p w14:paraId="0A6802F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signal_line</w:t>
      </w:r>
      <w:proofErr w:type="spellEnd"/>
    </w:p>
    <w:p w14:paraId="5345773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upper_bb</w:t>
      </w:r>
      <w:proofErr w:type="spellEnd"/>
    </w:p>
    <w:p w14:paraId="2AFC7F5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lower_bb</w:t>
      </w:r>
      <w:proofErr w:type="spellEnd"/>
    </w:p>
    <w:p w14:paraId="33AEAD3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indicator_state</w:t>
      </w:r>
      <w:proofErr w:type="spellEnd"/>
    </w:p>
    <w:p w14:paraId="4F38B535"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4D8C86FF"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TSMOM_signal</w:t>
      </w:r>
      <w:proofErr w:type="spellEnd"/>
    </w:p>
    <w:p w14:paraId="2323CF30"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2FD0232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portfolio_contribution</w:t>
      </w:r>
      <w:proofErr w:type="spellEnd"/>
    </w:p>
    <w:p w14:paraId="5EE16A47"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roofErr w:type="spellStart"/>
      <w:r w:rsidRPr="00A27CC6">
        <w:rPr>
          <w:rFonts w:ascii="Calibri" w:eastAsia="Times New Roman" w:hAnsi="Calibri" w:cs="Calibri"/>
          <w:kern w:val="0"/>
          <w:sz w:val="16"/>
          <w:szCs w:val="16"/>
          <w:lang w:eastAsia="en-GB"/>
          <w14:ligatures w14:val="none"/>
        </w:rPr>
        <w:t>active_contribution</w:t>
      </w:r>
      <w:proofErr w:type="spellEnd"/>
    </w:p>
    <w:p w14:paraId="08B7213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allows us to answer questions such as:</w:t>
      </w:r>
    </w:p>
    <w:p w14:paraId="7481819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Which sector rotations created the strategy's excess return?</w:t>
      </w:r>
    </w:p>
    <w:p w14:paraId="27552C1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rather than merely observing the final Sharpe ratio.</w:t>
      </w:r>
    </w:p>
    <w:p w14:paraId="098924AF"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4189C3FC">
          <v:rect id="_x0000_i2097" style="width:0;height:1.5pt" o:hralign="center" o:hrstd="t" o:hr="t" fillcolor="#a0a0a0" stroked="f"/>
        </w:pict>
      </w:r>
    </w:p>
    <w:p w14:paraId="6D50F522"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Block 12 — Visualizations</w:t>
      </w:r>
    </w:p>
    <w:p w14:paraId="55D915F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Useful charts include:</w:t>
      </w:r>
    </w:p>
    <w:p w14:paraId="042C348B"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cumulative wealth; </w:t>
      </w:r>
    </w:p>
    <w:p w14:paraId="2EE8787C"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drawdowns; </w:t>
      </w:r>
    </w:p>
    <w:p w14:paraId="27630B89"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rolling Sharpe; </w:t>
      </w:r>
    </w:p>
    <w:p w14:paraId="1DBE3C1F"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rolling excess return; </w:t>
      </w:r>
    </w:p>
    <w:p w14:paraId="26153154"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active sector weights through time; </w:t>
      </w:r>
    </w:p>
    <w:p w14:paraId="1612229C"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heatmap of sector over/underweights; </w:t>
      </w:r>
    </w:p>
    <w:p w14:paraId="50C66BE6"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 xml:space="preserve">indicator regime heatmap; </w:t>
      </w:r>
    </w:p>
    <w:p w14:paraId="67263D5B"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turnover; </w:t>
      </w:r>
    </w:p>
    <w:p w14:paraId="410CADFD" w14:textId="77777777" w:rsidR="00A27CC6" w:rsidRPr="00A27CC6" w:rsidRDefault="00A27CC6">
      <w:pPr>
        <w:numPr>
          <w:ilvl w:val="0"/>
          <w:numId w:val="2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sector contribution to active return. </w:t>
      </w:r>
    </w:p>
    <w:p w14:paraId="1E7BAC4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particularly valuable chart would have:</w:t>
      </w:r>
    </w:p>
    <w:p w14:paraId="098C48A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x-axis:</w:t>
      </w:r>
      <w:r w:rsidRPr="00A27CC6">
        <w:rPr>
          <w:rFonts w:ascii="Calibri" w:eastAsia="Times New Roman" w:hAnsi="Calibri" w:cs="Calibri"/>
          <w:kern w:val="0"/>
          <w:sz w:val="20"/>
          <w:szCs w:val="20"/>
          <w:lang w:eastAsia="en-GB"/>
          <w14:ligatures w14:val="none"/>
        </w:rPr>
        <w:t xml:space="preserve"> time</w:t>
      </w:r>
      <w:r w:rsidRPr="00A27CC6">
        <w:rPr>
          <w:rFonts w:ascii="Calibri" w:eastAsia="Times New Roman" w:hAnsi="Calibri" w:cs="Calibri"/>
          <w:kern w:val="0"/>
          <w:sz w:val="20"/>
          <w:szCs w:val="20"/>
          <w:lang w:eastAsia="en-GB"/>
          <w14:ligatures w14:val="none"/>
        </w:rPr>
        <w:br/>
      </w:r>
      <w:r w:rsidRPr="00A27CC6">
        <w:rPr>
          <w:rFonts w:ascii="Calibri" w:eastAsia="Times New Roman" w:hAnsi="Calibri" w:cs="Calibri"/>
          <w:b/>
          <w:bCs/>
          <w:kern w:val="0"/>
          <w:sz w:val="20"/>
          <w:szCs w:val="20"/>
          <w:lang w:eastAsia="en-GB"/>
          <w14:ligatures w14:val="none"/>
        </w:rPr>
        <w:t>y-axis:</w:t>
      </w:r>
      <w:r w:rsidRPr="00A27CC6">
        <w:rPr>
          <w:rFonts w:ascii="Calibri" w:eastAsia="Times New Roman" w:hAnsi="Calibri" w:cs="Calibri"/>
          <w:kern w:val="0"/>
          <w:sz w:val="20"/>
          <w:szCs w:val="20"/>
          <w:lang w:eastAsia="en-GB"/>
          <w14:ligatures w14:val="none"/>
        </w:rPr>
        <w:t xml:space="preserve"> 11 sectors</w:t>
      </w:r>
      <w:r w:rsidRPr="00A27CC6">
        <w:rPr>
          <w:rFonts w:ascii="Calibri" w:eastAsia="Times New Roman" w:hAnsi="Calibri" w:cs="Calibri"/>
          <w:kern w:val="0"/>
          <w:sz w:val="20"/>
          <w:szCs w:val="20"/>
          <w:lang w:eastAsia="en-GB"/>
          <w14:ligatures w14:val="none"/>
        </w:rPr>
        <w:br/>
      </w:r>
      <w:r w:rsidRPr="00A27CC6">
        <w:rPr>
          <w:rFonts w:ascii="Calibri" w:eastAsia="Times New Roman" w:hAnsi="Calibri" w:cs="Calibri"/>
          <w:b/>
          <w:bCs/>
          <w:kern w:val="0"/>
          <w:sz w:val="20"/>
          <w:szCs w:val="20"/>
          <w:lang w:eastAsia="en-GB"/>
          <w14:ligatures w14:val="none"/>
        </w:rPr>
        <w:t>colour/state:</w:t>
      </w:r>
      <w:r w:rsidRPr="00A27CC6">
        <w:rPr>
          <w:rFonts w:ascii="Calibri" w:eastAsia="Times New Roman" w:hAnsi="Calibri" w:cs="Calibri"/>
          <w:kern w:val="0"/>
          <w:sz w:val="20"/>
          <w:szCs w:val="20"/>
          <w:lang w:eastAsia="en-GB"/>
          <w14:ligatures w14:val="none"/>
        </w:rPr>
        <w:t xml:space="preserve"> underweight → neutral → overweight.</w:t>
      </w:r>
    </w:p>
    <w:p w14:paraId="65CBFEF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That would visually show sector rotation through economic cycles.</w:t>
      </w:r>
    </w:p>
    <w:p w14:paraId="5E022552"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5D307522">
          <v:rect id="_x0000_i2098" style="width:0;height:1.5pt" o:hralign="center" o:hrstd="t" o:hr="t" fillcolor="#a0a0a0" stroked="f"/>
        </w:pict>
      </w:r>
    </w:p>
    <w:p w14:paraId="135EACD5"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26. Business-cycle interpretation</w:t>
      </w:r>
    </w:p>
    <w:p w14:paraId="32192C6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After producing the results, examine whether the strategy's sector rotations correspond intuitively with known economic-cycle episodes.</w:t>
      </w:r>
    </w:p>
    <w:p w14:paraId="0AC8B6F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example, investigate whether cyclical sectors begin receiving increasing active allocations around recoveries while defensive sectors lose relative weight.</w:t>
      </w:r>
    </w:p>
    <w:p w14:paraId="51201C3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But avoid retroactively changing the strategy because a particular historical episode “looks wrong.”</w:t>
      </w:r>
    </w:p>
    <w:p w14:paraId="57E8295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This should be </w:t>
      </w:r>
      <w:r w:rsidRPr="00A27CC6">
        <w:rPr>
          <w:rFonts w:ascii="Calibri" w:eastAsia="Times New Roman" w:hAnsi="Calibri" w:cs="Calibri"/>
          <w:b/>
          <w:bCs/>
          <w:kern w:val="0"/>
          <w:sz w:val="20"/>
          <w:szCs w:val="20"/>
          <w:lang w:eastAsia="en-GB"/>
          <w14:ligatures w14:val="none"/>
        </w:rPr>
        <w:t>interpretation</w:t>
      </w:r>
      <w:r w:rsidRPr="00A27CC6">
        <w:rPr>
          <w:rFonts w:ascii="Calibri" w:eastAsia="Times New Roman" w:hAnsi="Calibri" w:cs="Calibri"/>
          <w:kern w:val="0"/>
          <w:sz w:val="20"/>
          <w:szCs w:val="20"/>
          <w:lang w:eastAsia="en-GB"/>
          <w14:ligatures w14:val="none"/>
        </w:rPr>
        <w:t>, not curve fitting.</w:t>
      </w:r>
    </w:p>
    <w:p w14:paraId="008634D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70A8A58">
          <v:rect id="_x0000_i2099" style="width:0;height:1.5pt" o:hralign="center" o:hrstd="t" o:hr="t" fillcolor="#a0a0a0" stroked="f"/>
        </w:pict>
      </w:r>
    </w:p>
    <w:p w14:paraId="37A5CDDC"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27. Performance attribution is as important as headline returns</w:t>
      </w:r>
    </w:p>
    <w:p w14:paraId="6ED73BC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Do not evaluate the strategy solely using:</w:t>
      </w:r>
    </w:p>
    <w:p w14:paraId="521D11D7"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CAGR,</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Sharpe,</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MaxDD.</m:t>
          </m:r>
          <m:r>
            <w:rPr>
              <w:rFonts w:ascii="Calibri" w:eastAsia="Times New Roman" w:hAnsi="Calibri" w:cs="Calibri"/>
              <w:i/>
              <w:kern w:val="0"/>
              <w:sz w:val="20"/>
              <w:szCs w:val="20"/>
              <w:lang w:eastAsia="en-GB"/>
              <w14:ligatures w14:val="none"/>
            </w:rPr>
            <w:br/>
          </m:r>
        </m:oMath>
      </m:oMathPara>
    </w:p>
    <w:p w14:paraId="4042492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We want to know </w:t>
      </w:r>
      <w:r w:rsidRPr="00A27CC6">
        <w:rPr>
          <w:rFonts w:ascii="Calibri" w:eastAsia="Times New Roman" w:hAnsi="Calibri" w:cs="Calibri"/>
          <w:i/>
          <w:iCs/>
          <w:kern w:val="0"/>
          <w:sz w:val="20"/>
          <w:szCs w:val="20"/>
          <w:lang w:eastAsia="en-GB"/>
          <w14:ligatures w14:val="none"/>
        </w:rPr>
        <w:t>why</w:t>
      </w:r>
      <w:r w:rsidRPr="00A27CC6">
        <w:rPr>
          <w:rFonts w:ascii="Calibri" w:eastAsia="Times New Roman" w:hAnsi="Calibri" w:cs="Calibri"/>
          <w:kern w:val="0"/>
          <w:sz w:val="20"/>
          <w:szCs w:val="20"/>
          <w:lang w:eastAsia="en-GB"/>
          <w14:ligatures w14:val="none"/>
        </w:rPr>
        <w:t xml:space="preserve"> it worked or failed.</w:t>
      </w:r>
    </w:p>
    <w:p w14:paraId="49FC89F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Useful questions include:</w:t>
      </w:r>
    </w:p>
    <w:p w14:paraId="7846E402"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Which sectors generated active return? </w:t>
      </w:r>
    </w:p>
    <w:p w14:paraId="52A621E7"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Did accumulation add value? </w:t>
      </w:r>
    </w:p>
    <w:p w14:paraId="4A6F7A74"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Did profit taking add value? </w:t>
      </w:r>
    </w:p>
    <w:p w14:paraId="31B97E52"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Did bearish underweights add value? </w:t>
      </w:r>
    </w:p>
    <w:p w14:paraId="342FE2E3"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Were gains concentrated in one period? </w:t>
      </w:r>
    </w:p>
    <w:p w14:paraId="2C1FE2CD"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Did the strategy improve drawdowns? </w:t>
      </w:r>
    </w:p>
    <w:p w14:paraId="5E4C9F1F"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Did it merely increase market beta? </w:t>
      </w:r>
    </w:p>
    <w:p w14:paraId="3C81617F"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What was its tracking error? </w:t>
      </w:r>
    </w:p>
    <w:p w14:paraId="4A861AEE"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Was excess return sufficient relative to active risk? </w:t>
      </w:r>
    </w:p>
    <w:p w14:paraId="15C3F57B" w14:textId="77777777" w:rsidR="00A27CC6" w:rsidRPr="00A27CC6" w:rsidRDefault="00A27CC6">
      <w:pPr>
        <w:numPr>
          <w:ilvl w:val="0"/>
          <w:numId w:val="21"/>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How much turnover did gradual allocation create? </w:t>
      </w:r>
    </w:p>
    <w:p w14:paraId="19AD1B1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 xml:space="preserve">This is what turns a </w:t>
      </w:r>
      <w:proofErr w:type="spellStart"/>
      <w:r w:rsidRPr="00A27CC6">
        <w:rPr>
          <w:rFonts w:ascii="Calibri" w:eastAsia="Times New Roman" w:hAnsi="Calibri" w:cs="Calibri"/>
          <w:kern w:val="0"/>
          <w:sz w:val="20"/>
          <w:szCs w:val="20"/>
          <w:lang w:eastAsia="en-GB"/>
          <w14:ligatures w14:val="none"/>
        </w:rPr>
        <w:t>backtest</w:t>
      </w:r>
      <w:proofErr w:type="spellEnd"/>
      <w:r w:rsidRPr="00A27CC6">
        <w:rPr>
          <w:rFonts w:ascii="Calibri" w:eastAsia="Times New Roman" w:hAnsi="Calibri" w:cs="Calibri"/>
          <w:kern w:val="0"/>
          <w:sz w:val="20"/>
          <w:szCs w:val="20"/>
          <w:lang w:eastAsia="en-GB"/>
          <w14:ligatures w14:val="none"/>
        </w:rPr>
        <w:t xml:space="preserve"> into a research project.</w:t>
      </w:r>
    </w:p>
    <w:p w14:paraId="20F43B89"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5A6A2882">
          <v:rect id="_x0000_i2100" style="width:0;height:1.5pt" o:hralign="center" o:hrstd="t" o:hr="t" fillcolor="#a0a0a0" stroked="f"/>
        </w:pict>
      </w:r>
    </w:p>
    <w:p w14:paraId="549CC0DF"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28. Important lessons from the earlier BTC implementation</w:t>
      </w:r>
    </w:p>
    <w:p w14:paraId="1CA01D8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earlier single-asset </w:t>
      </w:r>
      <w:proofErr w:type="spellStart"/>
      <w:r w:rsidRPr="00A27CC6">
        <w:rPr>
          <w:rFonts w:ascii="Calibri" w:eastAsia="Times New Roman" w:hAnsi="Calibri" w:cs="Calibri"/>
          <w:kern w:val="0"/>
          <w:sz w:val="20"/>
          <w:szCs w:val="20"/>
          <w:lang w:eastAsia="en-GB"/>
          <w14:ligatures w14:val="none"/>
        </w:rPr>
        <w:t>QuantConnect</w:t>
      </w:r>
      <w:proofErr w:type="spellEnd"/>
      <w:r w:rsidRPr="00A27CC6">
        <w:rPr>
          <w:rFonts w:ascii="Calibri" w:eastAsia="Times New Roman" w:hAnsi="Calibri" w:cs="Calibri"/>
          <w:kern w:val="0"/>
          <w:sz w:val="20"/>
          <w:szCs w:val="20"/>
          <w:lang w:eastAsia="en-GB"/>
          <w14:ligatures w14:val="none"/>
        </w:rPr>
        <w:t xml:space="preserve"> implementation uncovered a valuable architecture lesson.</w:t>
      </w:r>
    </w:p>
    <w:p w14:paraId="4598A65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Do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allow tactical regimes such as profit taking or pullback accumulation to overwrite the underlying strategic state accidentally.</w:t>
      </w:r>
    </w:p>
    <w:p w14:paraId="0C31641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Previously this created an erroneous situation in which a profit-taking signal could actually establish a long BTC position from cash.</w:t>
      </w:r>
    </w:p>
    <w:p w14:paraId="5DD8B69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For this project explicitly separate:</w:t>
      </w:r>
    </w:p>
    <w:p w14:paraId="5DE0C313"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STRATEGIC / TREND STATE</w:t>
      </w:r>
    </w:p>
    <w:p w14:paraId="12A8870C"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6651945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from</w:t>
      </w:r>
    </w:p>
    <w:p w14:paraId="62B514FD"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7F31503"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TACTICAL ACCUMULATION / PROFIT-TAKING STATE</w:t>
      </w:r>
    </w:p>
    <w:p w14:paraId="2379EB8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Likewise, compare desired portfolio weights against </w:t>
      </w:r>
      <w:r w:rsidRPr="00A27CC6">
        <w:rPr>
          <w:rFonts w:ascii="Calibri" w:eastAsia="Times New Roman" w:hAnsi="Calibri" w:cs="Calibri"/>
          <w:b/>
          <w:bCs/>
          <w:kern w:val="0"/>
          <w:sz w:val="20"/>
          <w:szCs w:val="20"/>
          <w:lang w:eastAsia="en-GB"/>
          <w14:ligatures w14:val="none"/>
        </w:rPr>
        <w:t>actual current weights</w:t>
      </w:r>
      <w:r w:rsidRPr="00A27CC6">
        <w:rPr>
          <w:rFonts w:ascii="Calibri" w:eastAsia="Times New Roman" w:hAnsi="Calibri" w:cs="Calibri"/>
          <w:kern w:val="0"/>
          <w:sz w:val="20"/>
          <w:szCs w:val="20"/>
          <w:lang w:eastAsia="en-GB"/>
          <w14:ligatures w14:val="none"/>
        </w:rPr>
        <w:t>, rather than merely comparing this week's target variable against last week's target variable.</w:t>
      </w:r>
    </w:p>
    <w:p w14:paraId="174D994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These lessons should be incorporated from the beginning.</w:t>
      </w:r>
    </w:p>
    <w:p w14:paraId="16FDD63E"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35A0FB90">
          <v:rect id="_x0000_i2101" style="width:0;height:1.5pt" o:hralign="center" o:hrstd="t" o:hr="t" fillcolor="#a0a0a0" stroked="f"/>
        </w:pict>
      </w:r>
    </w:p>
    <w:p w14:paraId="2310CAC3"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29. Avoid excessive optimization</w:t>
      </w:r>
    </w:p>
    <w:p w14:paraId="563F643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Do not immediately grid-search:</w:t>
      </w:r>
    </w:p>
    <w:p w14:paraId="58F3A555"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EMA lengths; </w:t>
      </w:r>
    </w:p>
    <w:p w14:paraId="161A9F8C"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BB parameters; </w:t>
      </w:r>
    </w:p>
    <w:p w14:paraId="16678665"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accumulation increments; </w:t>
      </w:r>
    </w:p>
    <w:p w14:paraId="1C9B7D93"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maximum overweights; </w:t>
      </w:r>
    </w:p>
    <w:p w14:paraId="142D42AD"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underweights; </w:t>
      </w:r>
    </w:p>
    <w:p w14:paraId="2763AB42"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TSMOM horizons; </w:t>
      </w:r>
    </w:p>
    <w:p w14:paraId="35ADD699"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volatility windows; </w:t>
      </w:r>
    </w:p>
    <w:p w14:paraId="690E7A54" w14:textId="77777777" w:rsidR="00A27CC6" w:rsidRPr="00A27CC6" w:rsidRDefault="00A27CC6">
      <w:pPr>
        <w:numPr>
          <w:ilvl w:val="0"/>
          <w:numId w:val="22"/>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rebalance frequencies. </w:t>
      </w:r>
    </w:p>
    <w:p w14:paraId="6B77E50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first </w:t>
      </w:r>
      <w:proofErr w:type="spellStart"/>
      <w:r w:rsidRPr="00A27CC6">
        <w:rPr>
          <w:rFonts w:ascii="Calibri" w:eastAsia="Times New Roman" w:hAnsi="Calibri" w:cs="Calibri"/>
          <w:kern w:val="0"/>
          <w:sz w:val="20"/>
          <w:szCs w:val="20"/>
          <w:lang w:eastAsia="en-GB"/>
          <w14:ligatures w14:val="none"/>
        </w:rPr>
        <w:t>backtest</w:t>
      </w:r>
      <w:proofErr w:type="spellEnd"/>
      <w:r w:rsidRPr="00A27CC6">
        <w:rPr>
          <w:rFonts w:ascii="Calibri" w:eastAsia="Times New Roman" w:hAnsi="Calibri" w:cs="Calibri"/>
          <w:kern w:val="0"/>
          <w:sz w:val="20"/>
          <w:szCs w:val="20"/>
          <w:lang w:eastAsia="en-GB"/>
          <w14:ligatures w14:val="none"/>
        </w:rPr>
        <w:t xml:space="preserve"> should use </w:t>
      </w:r>
      <w:r w:rsidRPr="00A27CC6">
        <w:rPr>
          <w:rFonts w:ascii="Calibri" w:eastAsia="Times New Roman" w:hAnsi="Calibri" w:cs="Calibri"/>
          <w:b/>
          <w:bCs/>
          <w:kern w:val="0"/>
          <w:sz w:val="20"/>
          <w:szCs w:val="20"/>
          <w:lang w:eastAsia="en-GB"/>
          <w14:ligatures w14:val="none"/>
        </w:rPr>
        <w:t>pre-specified, economically interpretable parameters</w:t>
      </w:r>
      <w:r w:rsidRPr="00A27CC6">
        <w:rPr>
          <w:rFonts w:ascii="Calibri" w:eastAsia="Times New Roman" w:hAnsi="Calibri" w:cs="Calibri"/>
          <w:kern w:val="0"/>
          <w:sz w:val="20"/>
          <w:szCs w:val="20"/>
          <w:lang w:eastAsia="en-GB"/>
          <w14:ligatures w14:val="none"/>
        </w:rPr>
        <w:t>.</w:t>
      </w:r>
    </w:p>
    <w:p w14:paraId="719AD2D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Only after seeing the principal result should robustness tests be performed.</w:t>
      </w:r>
    </w:p>
    <w:p w14:paraId="5B97D8C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 strategy that works reasonably across a broad parameter </w:t>
      </w:r>
      <w:proofErr w:type="spellStart"/>
      <w:r w:rsidRPr="00A27CC6">
        <w:rPr>
          <w:rFonts w:ascii="Calibri" w:eastAsia="Times New Roman" w:hAnsi="Calibri" w:cs="Calibri"/>
          <w:kern w:val="0"/>
          <w:sz w:val="20"/>
          <w:szCs w:val="20"/>
          <w:lang w:eastAsia="en-GB"/>
          <w14:ligatures w14:val="none"/>
        </w:rPr>
        <w:t>neighborhood</w:t>
      </w:r>
      <w:proofErr w:type="spellEnd"/>
      <w:r w:rsidRPr="00A27CC6">
        <w:rPr>
          <w:rFonts w:ascii="Calibri" w:eastAsia="Times New Roman" w:hAnsi="Calibri" w:cs="Calibri"/>
          <w:kern w:val="0"/>
          <w:sz w:val="20"/>
          <w:szCs w:val="20"/>
          <w:lang w:eastAsia="en-GB"/>
          <w14:ligatures w14:val="none"/>
        </w:rPr>
        <w:t xml:space="preserve"> is much more interesting than one requiring a very precise optimum.</w:t>
      </w:r>
    </w:p>
    <w:p w14:paraId="6B640D3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BDF9235">
          <v:rect id="_x0000_i2102" style="width:0;height:1.5pt" o:hralign="center" o:hrstd="t" o:hr="t" fillcolor="#a0a0a0" stroked="f"/>
        </w:pict>
      </w:r>
    </w:p>
    <w:p w14:paraId="785B6598"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lastRenderedPageBreak/>
        <w:t>30. Potential robustness tests — only after the core model works</w:t>
      </w:r>
    </w:p>
    <w:p w14:paraId="6555730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Possible later tests:</w:t>
      </w:r>
    </w:p>
    <w:p w14:paraId="1A2AA24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Weighting</w:t>
      </w:r>
    </w:p>
    <w:p w14:paraId="70A0ED69" w14:textId="77777777" w:rsidR="00A27CC6" w:rsidRPr="00A27CC6" w:rsidRDefault="00A27CC6">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S&amp;P market-cap strategic weights; </w:t>
      </w:r>
    </w:p>
    <w:p w14:paraId="68C0D100" w14:textId="77777777" w:rsidR="00A27CC6" w:rsidRPr="00A27CC6" w:rsidRDefault="00A27CC6">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inverse-volatility strategic weights; </w:t>
      </w:r>
    </w:p>
    <w:p w14:paraId="481ED094" w14:textId="77777777" w:rsidR="00A27CC6" w:rsidRPr="00A27CC6" w:rsidRDefault="00A27CC6">
      <w:pPr>
        <w:numPr>
          <w:ilvl w:val="0"/>
          <w:numId w:val="23"/>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perhaps equal weights. </w:t>
      </w:r>
    </w:p>
    <w:p w14:paraId="6134A6F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Active-weight amplitude</w:t>
      </w:r>
    </w:p>
    <w:p w14:paraId="3BF62C78" w14:textId="77777777" w:rsidR="00A27CC6" w:rsidRPr="00A27CC6" w:rsidRDefault="00A27CC6">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±25%; </w:t>
      </w:r>
    </w:p>
    <w:p w14:paraId="6E14D028" w14:textId="77777777" w:rsidR="00A27CC6" w:rsidRPr="00A27CC6" w:rsidRDefault="00A27CC6">
      <w:pPr>
        <w:numPr>
          <w:ilvl w:val="0"/>
          <w:numId w:val="24"/>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±50%. </w:t>
      </w:r>
    </w:p>
    <w:p w14:paraId="2F82833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Step size</w:t>
      </w:r>
    </w:p>
    <w:p w14:paraId="3CEFE7F6" w14:textId="77777777" w:rsidR="00A27CC6" w:rsidRPr="00A27CC6" w:rsidRDefault="00A27CC6">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5%; </w:t>
      </w:r>
    </w:p>
    <w:p w14:paraId="5AA29731" w14:textId="77777777" w:rsidR="00A27CC6" w:rsidRPr="00A27CC6" w:rsidRDefault="00A27CC6">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10%; </w:t>
      </w:r>
    </w:p>
    <w:p w14:paraId="2A8F0FF0" w14:textId="77777777" w:rsidR="00A27CC6" w:rsidRPr="00A27CC6" w:rsidRDefault="00A27CC6">
      <w:pPr>
        <w:numPr>
          <w:ilvl w:val="0"/>
          <w:numId w:val="25"/>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15%. </w:t>
      </w:r>
    </w:p>
    <w:p w14:paraId="4D633B8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TSMOM</w:t>
      </w:r>
    </w:p>
    <w:p w14:paraId="72F0C0D3" w14:textId="77777777" w:rsidR="00A27CC6" w:rsidRPr="00A27CC6" w:rsidRDefault="00A27CC6">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6 months; </w:t>
      </w:r>
    </w:p>
    <w:p w14:paraId="192263BA" w14:textId="77777777" w:rsidR="00A27CC6" w:rsidRPr="00A27CC6" w:rsidRDefault="00A27CC6">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9 months; </w:t>
      </w:r>
    </w:p>
    <w:p w14:paraId="5758A0D3" w14:textId="77777777" w:rsidR="00A27CC6" w:rsidRPr="00A27CC6" w:rsidRDefault="00A27CC6">
      <w:pPr>
        <w:numPr>
          <w:ilvl w:val="0"/>
          <w:numId w:val="26"/>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12 months. </w:t>
      </w:r>
    </w:p>
    <w:p w14:paraId="7E1E98B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Rebalancing</w:t>
      </w:r>
    </w:p>
    <w:p w14:paraId="76D58B0E" w14:textId="77777777" w:rsidR="00A27CC6" w:rsidRPr="00A27CC6" w:rsidRDefault="00A27CC6">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weekly; </w:t>
      </w:r>
    </w:p>
    <w:p w14:paraId="79448B8C" w14:textId="77777777" w:rsidR="00A27CC6" w:rsidRPr="00A27CC6" w:rsidRDefault="00A27CC6">
      <w:pPr>
        <w:numPr>
          <w:ilvl w:val="0"/>
          <w:numId w:val="27"/>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perhaps monthly. </w:t>
      </w:r>
    </w:p>
    <w:p w14:paraId="55AA769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Transaction costs</w:t>
      </w:r>
    </w:p>
    <w:p w14:paraId="07954F8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Different historical subperiods</w:t>
      </w:r>
    </w:p>
    <w:p w14:paraId="06180C5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These should be treated as robustness analysis rather than a hunt for the highest Sharpe ratio.</w:t>
      </w:r>
    </w:p>
    <w:p w14:paraId="639E1E79"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4AF905B9">
          <v:rect id="_x0000_i2103" style="width:0;height:1.5pt" o:hralign="center" o:hrstd="t" o:hr="t" fillcolor="#a0a0a0" stroked="f"/>
        </w:pict>
      </w:r>
    </w:p>
    <w:p w14:paraId="440402FD"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31. Future extensions — explicitly out of scope for the first notebook</w:t>
      </w:r>
    </w:p>
    <w:p w14:paraId="68F3877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architecture should eventually be reusable:</w:t>
      </w:r>
    </w:p>
    <w:p w14:paraId="61A1AF9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r>
                <w:rPr>
                  <w:rFonts w:ascii="Cambria Math" w:eastAsia="Times New Roman" w:hAnsi="Cambria Math" w:cs="Calibri"/>
                  <w:kern w:val="0"/>
                  <w:sz w:val="20"/>
                  <w:szCs w:val="20"/>
                  <w:lang w:eastAsia="en-GB"/>
                  <w14:ligatures w14:val="none"/>
                </w:rPr>
                <m:t>Universe→Signal→State→ActiveWeight→Portfolio</m:t>
              </m:r>
            </m:e>
          </m:borderBox>
          <m:r>
            <w:rPr>
              <w:rFonts w:ascii="Calibri" w:eastAsia="Times New Roman" w:hAnsi="Calibri" w:cs="Calibri"/>
              <w:kern w:val="0"/>
              <w:sz w:val="20"/>
              <w:szCs w:val="20"/>
              <w:lang w:eastAsia="en-GB"/>
              <w14:ligatures w14:val="none"/>
            </w:rPr>
            <w:br/>
          </m:r>
        </m:oMath>
      </m:oMathPara>
    </w:p>
    <w:p w14:paraId="12DACE6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This allows several natural subsequent projects.</w:t>
      </w:r>
    </w:p>
    <w:p w14:paraId="6F2D6AB5"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Country rotation</w:t>
      </w:r>
    </w:p>
    <w:p w14:paraId="3C63966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Apply the same framework to country/regional equity ETFs.</w:t>
      </w:r>
    </w:p>
    <w:p w14:paraId="538E59AA"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Cross-asset allocation</w:t>
      </w:r>
    </w:p>
    <w:p w14:paraId="1712C3F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Equities, bonds, commodities, gold, real estate, crypto etc.</w:t>
      </w:r>
    </w:p>
    <w:p w14:paraId="45F3F80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would require greater care around volatility/risk allocation because the assets have fundamentally different risk characteristics.</w:t>
      </w:r>
    </w:p>
    <w:p w14:paraId="3B7FDC18"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Cryptocurrency rotation</w:t>
      </w:r>
    </w:p>
    <w:p w14:paraId="332B689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Potential universe:</w:t>
      </w:r>
    </w:p>
    <w:p w14:paraId="2358944B" w14:textId="77777777" w:rsidR="00A27CC6" w:rsidRPr="00A27CC6" w:rsidRDefault="00A27CC6">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Bitcoin; </w:t>
      </w:r>
    </w:p>
    <w:p w14:paraId="183DCB81" w14:textId="77777777" w:rsidR="00A27CC6" w:rsidRPr="00A27CC6" w:rsidRDefault="00A27CC6">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Ethereum; </w:t>
      </w:r>
    </w:p>
    <w:p w14:paraId="15B4C791" w14:textId="77777777" w:rsidR="00A27CC6" w:rsidRPr="00A27CC6" w:rsidRDefault="00A27CC6">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major altcoins; </w:t>
      </w:r>
    </w:p>
    <w:p w14:paraId="5358C5E3" w14:textId="77777777" w:rsidR="00A27CC6" w:rsidRPr="00A27CC6" w:rsidRDefault="00A27CC6">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smaller altcoins; </w:t>
      </w:r>
    </w:p>
    <w:p w14:paraId="0FAC88DC" w14:textId="77777777" w:rsidR="00A27CC6" w:rsidRPr="00A27CC6" w:rsidRDefault="00A27CC6">
      <w:pPr>
        <w:numPr>
          <w:ilvl w:val="0"/>
          <w:numId w:val="28"/>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potentially speculative/meme-coin baskets. </w:t>
      </w:r>
    </w:p>
    <w:p w14:paraId="690B08E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could investigate whether trend-state transitions capture capital migration through crypto risk cycles.</w:t>
      </w:r>
    </w:p>
    <w:p w14:paraId="676193D4"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Industry rotation</w:t>
      </w:r>
    </w:p>
    <w:p w14:paraId="25712D4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Move below GICS sectors into industries.</w:t>
      </w:r>
    </w:p>
    <w:p w14:paraId="01E2703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Automotive equities would be a natural case study.</w:t>
      </w:r>
    </w:p>
    <w:p w14:paraId="66F7674F"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Individual equities</w:t>
      </w:r>
    </w:p>
    <w:p w14:paraId="3C433B8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Eventually use the same price-state framework for individual stocks.</w:t>
      </w:r>
    </w:p>
    <w:p w14:paraId="7A4FCE9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At this stage point-in-time universe construction, delistings and survivorship become much more important.</w:t>
      </w:r>
    </w:p>
    <w:p w14:paraId="62B525D5"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proofErr w:type="spellStart"/>
      <w:r w:rsidRPr="00A27CC6">
        <w:rPr>
          <w:rFonts w:ascii="Calibri" w:eastAsia="Times New Roman" w:hAnsi="Calibri" w:cs="Calibri"/>
          <w:b/>
          <w:bCs/>
          <w:kern w:val="0"/>
          <w:sz w:val="22"/>
          <w:szCs w:val="22"/>
          <w:lang w:eastAsia="en-GB"/>
          <w14:ligatures w14:val="none"/>
        </w:rPr>
        <w:t>Quantamental</w:t>
      </w:r>
      <w:proofErr w:type="spellEnd"/>
      <w:r w:rsidRPr="00A27CC6">
        <w:rPr>
          <w:rFonts w:ascii="Calibri" w:eastAsia="Times New Roman" w:hAnsi="Calibri" w:cs="Calibri"/>
          <w:b/>
          <w:bCs/>
          <w:kern w:val="0"/>
          <w:sz w:val="22"/>
          <w:szCs w:val="22"/>
          <w:lang w:eastAsia="en-GB"/>
          <w14:ligatures w14:val="none"/>
        </w:rPr>
        <w:t xml:space="preserve"> integration</w:t>
      </w:r>
    </w:p>
    <w:p w14:paraId="5A79586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A particularly important eventual extension is integration with the separate </w:t>
      </w:r>
      <w:r w:rsidRPr="00A27CC6">
        <w:rPr>
          <w:rFonts w:ascii="Calibri" w:eastAsia="Times New Roman" w:hAnsi="Calibri" w:cs="Calibri"/>
          <w:b/>
          <w:bCs/>
          <w:kern w:val="0"/>
          <w:sz w:val="20"/>
          <w:szCs w:val="20"/>
          <w:lang w:eastAsia="en-GB"/>
          <w14:ligatures w14:val="none"/>
        </w:rPr>
        <w:t>global point-in-time equity research database</w:t>
      </w:r>
      <w:r w:rsidRPr="00A27CC6">
        <w:rPr>
          <w:rFonts w:ascii="Calibri" w:eastAsia="Times New Roman" w:hAnsi="Calibri" w:cs="Calibri"/>
          <w:kern w:val="0"/>
          <w:sz w:val="20"/>
          <w:szCs w:val="20"/>
          <w:lang w:eastAsia="en-GB"/>
          <w14:ligatures w14:val="none"/>
        </w:rPr>
        <w:t>.</w:t>
      </w:r>
    </w:p>
    <w:p w14:paraId="7C40990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architecture could ultimately become:</w:t>
      </w:r>
    </w:p>
    <w:p w14:paraId="553C14F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r>
                <w:rPr>
                  <w:rFonts w:ascii="Cambria Math" w:eastAsia="Times New Roman" w:hAnsi="Cambria Math" w:cs="Calibri"/>
                  <w:kern w:val="0"/>
                  <w:sz w:val="20"/>
                  <w:szCs w:val="20"/>
                  <w:lang w:eastAsia="en-GB"/>
                  <w14:ligatures w14:val="none"/>
                </w:rPr>
                <m:t>Fundamentalattractiveness+Price/trendstate+Riskmodel→Portfolioweights</m:t>
              </m:r>
            </m:e>
          </m:borderBox>
          <m:r>
            <w:rPr>
              <w:rFonts w:ascii="Calibri" w:eastAsia="Times New Roman" w:hAnsi="Calibri" w:cs="Calibri"/>
              <w:kern w:val="0"/>
              <w:sz w:val="20"/>
              <w:szCs w:val="20"/>
              <w:lang w:eastAsia="en-GB"/>
              <w14:ligatures w14:val="none"/>
            </w:rPr>
            <w:br/>
          </m:r>
        </m:oMath>
      </m:oMathPara>
    </w:p>
    <w:p w14:paraId="7CFDE73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Fundamentals might determine </w:t>
      </w:r>
      <w:r w:rsidRPr="00A27CC6">
        <w:rPr>
          <w:rFonts w:ascii="Calibri" w:eastAsia="Times New Roman" w:hAnsi="Calibri" w:cs="Calibri"/>
          <w:b/>
          <w:bCs/>
          <w:kern w:val="0"/>
          <w:sz w:val="20"/>
          <w:szCs w:val="20"/>
          <w:lang w:eastAsia="en-GB"/>
          <w14:ligatures w14:val="none"/>
        </w:rPr>
        <w:t>which securities deserve capital</w:t>
      </w:r>
      <w:r w:rsidRPr="00A27CC6">
        <w:rPr>
          <w:rFonts w:ascii="Calibri" w:eastAsia="Times New Roman" w:hAnsi="Calibri" w:cs="Calibri"/>
          <w:kern w:val="0"/>
          <w:sz w:val="20"/>
          <w:szCs w:val="20"/>
          <w:lang w:eastAsia="en-GB"/>
          <w14:ligatures w14:val="none"/>
        </w:rPr>
        <w:t xml:space="preserve">, while the trend-state engine influences </w:t>
      </w:r>
      <w:r w:rsidRPr="00A27CC6">
        <w:rPr>
          <w:rFonts w:ascii="Calibri" w:eastAsia="Times New Roman" w:hAnsi="Calibri" w:cs="Calibri"/>
          <w:b/>
          <w:bCs/>
          <w:kern w:val="0"/>
          <w:sz w:val="20"/>
          <w:szCs w:val="20"/>
          <w:lang w:eastAsia="en-GB"/>
          <w14:ligatures w14:val="none"/>
        </w:rPr>
        <w:t>when and how aggressively capital is allocated</w:t>
      </w:r>
      <w:r w:rsidRPr="00A27CC6">
        <w:rPr>
          <w:rFonts w:ascii="Calibri" w:eastAsia="Times New Roman" w:hAnsi="Calibri" w:cs="Calibri"/>
          <w:kern w:val="0"/>
          <w:sz w:val="20"/>
          <w:szCs w:val="20"/>
          <w:lang w:eastAsia="en-GB"/>
          <w14:ligatures w14:val="none"/>
        </w:rPr>
        <w:t>.</w:t>
      </w:r>
    </w:p>
    <w:p w14:paraId="339C9A8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Do not attempt this in the current sector-rotation notebook.</w:t>
      </w:r>
    </w:p>
    <w:p w14:paraId="19E1DE14"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pict w14:anchorId="4E5D5775">
          <v:rect id="_x0000_i2104" style="width:0;height:1.5pt" o:hralign="center" o:hrstd="t" o:hr="t" fillcolor="#a0a0a0" stroked="f"/>
        </w:pict>
      </w:r>
    </w:p>
    <w:p w14:paraId="09116A5A"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 xml:space="preserve">32. </w:t>
      </w:r>
      <w:proofErr w:type="spellStart"/>
      <w:r w:rsidRPr="00A27CC6">
        <w:rPr>
          <w:rFonts w:ascii="Calibri" w:eastAsia="Times New Roman" w:hAnsi="Calibri" w:cs="Calibri"/>
          <w:b/>
          <w:bCs/>
          <w:kern w:val="36"/>
          <w:sz w:val="40"/>
          <w:szCs w:val="40"/>
          <w:lang w:eastAsia="en-GB"/>
          <w14:ligatures w14:val="none"/>
        </w:rPr>
        <w:t>QuantConnect</w:t>
      </w:r>
      <w:proofErr w:type="spellEnd"/>
      <w:r w:rsidRPr="00A27CC6">
        <w:rPr>
          <w:rFonts w:ascii="Calibri" w:eastAsia="Times New Roman" w:hAnsi="Calibri" w:cs="Calibri"/>
          <w:b/>
          <w:bCs/>
          <w:kern w:val="36"/>
          <w:sz w:val="40"/>
          <w:szCs w:val="40"/>
          <w:lang w:eastAsia="en-GB"/>
          <w14:ligatures w14:val="none"/>
        </w:rPr>
        <w:t xml:space="preserve"> extension</w:t>
      </w:r>
    </w:p>
    <w:p w14:paraId="7C29C44D"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Once the </w:t>
      </w:r>
      <w:proofErr w:type="spellStart"/>
      <w:r w:rsidRPr="00A27CC6">
        <w:rPr>
          <w:rFonts w:ascii="Calibri" w:eastAsia="Times New Roman" w:hAnsi="Calibri" w:cs="Calibri"/>
          <w:kern w:val="0"/>
          <w:sz w:val="20"/>
          <w:szCs w:val="20"/>
          <w:lang w:eastAsia="en-GB"/>
          <w14:ligatures w14:val="none"/>
        </w:rPr>
        <w:t>Colab</w:t>
      </w:r>
      <w:proofErr w:type="spellEnd"/>
      <w:r w:rsidRPr="00A27CC6">
        <w:rPr>
          <w:rFonts w:ascii="Calibri" w:eastAsia="Times New Roman" w:hAnsi="Calibri" w:cs="Calibri"/>
          <w:kern w:val="0"/>
          <w:sz w:val="20"/>
          <w:szCs w:val="20"/>
          <w:lang w:eastAsia="en-GB"/>
          <w14:ligatures w14:val="none"/>
        </w:rPr>
        <w:t xml:space="preserve"> research is complete and the specification frozen, it could be translated into </w:t>
      </w:r>
      <w:proofErr w:type="spellStart"/>
      <w:r w:rsidRPr="00A27CC6">
        <w:rPr>
          <w:rFonts w:ascii="Calibri" w:eastAsia="Times New Roman" w:hAnsi="Calibri" w:cs="Calibri"/>
          <w:kern w:val="0"/>
          <w:sz w:val="20"/>
          <w:szCs w:val="20"/>
          <w:lang w:eastAsia="en-GB"/>
          <w14:ligatures w14:val="none"/>
        </w:rPr>
        <w:t>QuantConnect</w:t>
      </w:r>
      <w:proofErr w:type="spellEnd"/>
      <w:r w:rsidRPr="00A27CC6">
        <w:rPr>
          <w:rFonts w:ascii="Calibri" w:eastAsia="Times New Roman" w:hAnsi="Calibri" w:cs="Calibri"/>
          <w:kern w:val="0"/>
          <w:sz w:val="20"/>
          <w:szCs w:val="20"/>
          <w:lang w:eastAsia="en-GB"/>
          <w14:ligatures w14:val="none"/>
        </w:rPr>
        <w:t>/LEAN.</w:t>
      </w:r>
    </w:p>
    <w:p w14:paraId="695CB45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This would provide:</w:t>
      </w:r>
    </w:p>
    <w:p w14:paraId="248006F7"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execution realism; </w:t>
      </w:r>
    </w:p>
    <w:p w14:paraId="5E97E787"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explicit orders; </w:t>
      </w:r>
    </w:p>
    <w:p w14:paraId="049A0FEC"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transaction-cost </w:t>
      </w:r>
      <w:proofErr w:type="spellStart"/>
      <w:r w:rsidRPr="00A27CC6">
        <w:rPr>
          <w:rFonts w:ascii="Calibri" w:eastAsia="Times New Roman" w:hAnsi="Calibri" w:cs="Calibri"/>
          <w:kern w:val="0"/>
          <w:sz w:val="20"/>
          <w:szCs w:val="20"/>
          <w:lang w:eastAsia="en-GB"/>
          <w14:ligatures w14:val="none"/>
        </w:rPr>
        <w:t>modeling</w:t>
      </w:r>
      <w:proofErr w:type="spellEnd"/>
      <w:r w:rsidRPr="00A27CC6">
        <w:rPr>
          <w:rFonts w:ascii="Calibri" w:eastAsia="Times New Roman" w:hAnsi="Calibri" w:cs="Calibri"/>
          <w:kern w:val="0"/>
          <w:sz w:val="20"/>
          <w:szCs w:val="20"/>
          <w:lang w:eastAsia="en-GB"/>
          <w14:ligatures w14:val="none"/>
        </w:rPr>
        <w:t xml:space="preserve">; </w:t>
      </w:r>
    </w:p>
    <w:p w14:paraId="2561771A"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portfolio holdings; </w:t>
      </w:r>
    </w:p>
    <w:p w14:paraId="2722D3EC"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scheduled weekly rebalances; </w:t>
      </w:r>
    </w:p>
    <w:p w14:paraId="7E28D667" w14:textId="77777777" w:rsidR="00A27CC6" w:rsidRPr="00A27CC6" w:rsidRDefault="00A27CC6">
      <w:pPr>
        <w:numPr>
          <w:ilvl w:val="0"/>
          <w:numId w:val="29"/>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production-style implementation. </w:t>
      </w:r>
    </w:p>
    <w:p w14:paraId="7FB62D2B"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But the order should be:</w:t>
      </w:r>
    </w:p>
    <w:p w14:paraId="0AEFBF4A"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borderBox>
            <m:borderBoxPr>
              <m:ctrlPr>
                <w:rPr>
                  <w:rFonts w:ascii="Cambria Math" w:eastAsia="Times New Roman" w:hAnsi="Cambria Math" w:cs="Calibri"/>
                  <w:kern w:val="0"/>
                  <w:sz w:val="20"/>
                  <w:szCs w:val="20"/>
                  <w:lang w:eastAsia="en-GB"/>
                  <w14:ligatures w14:val="none"/>
                </w:rPr>
              </m:ctrlPr>
            </m:borderBoxPr>
            <m:e>
              <m:r>
                <w:rPr>
                  <w:rFonts w:ascii="Cambria Math" w:eastAsia="Times New Roman" w:hAnsi="Cambria Math" w:cs="Calibri"/>
                  <w:kern w:val="0"/>
                  <w:sz w:val="20"/>
                  <w:szCs w:val="20"/>
                  <w:lang w:eastAsia="en-GB"/>
                  <w14:ligatures w14:val="none"/>
                </w:rPr>
                <m:t>Research</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in</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Colab→Understand</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results→Freeze</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specification→LEAN</m:t>
              </m:r>
              <m:r>
                <m:rPr>
                  <m:nor/>
                </m:rPr>
                <w:rPr>
                  <w:rFonts w:ascii="Calibri" w:eastAsia="Times New Roman" w:hAnsi="Calibri" w:cs="Calibri"/>
                  <w:kern w:val="0"/>
                  <w:sz w:val="20"/>
                  <w:szCs w:val="20"/>
                  <w:lang w:eastAsia="en-GB"/>
                  <w14:ligatures w14:val="none"/>
                </w:rPr>
                <m:t> </m:t>
              </m:r>
              <m:r>
                <w:rPr>
                  <w:rFonts w:ascii="Cambria Math" w:eastAsia="Times New Roman" w:hAnsi="Cambria Math" w:cs="Calibri"/>
                  <w:kern w:val="0"/>
                  <w:sz w:val="20"/>
                  <w:szCs w:val="20"/>
                  <w:lang w:eastAsia="en-GB"/>
                  <w14:ligatures w14:val="none"/>
                </w:rPr>
                <m:t>implementation</m:t>
              </m:r>
            </m:e>
          </m:borderBox>
          <m:r>
            <w:rPr>
              <w:rFonts w:ascii="Calibri" w:eastAsia="Times New Roman" w:hAnsi="Calibri" w:cs="Calibri"/>
              <w:kern w:val="0"/>
              <w:sz w:val="20"/>
              <w:szCs w:val="20"/>
              <w:lang w:eastAsia="en-GB"/>
              <w14:ligatures w14:val="none"/>
            </w:rPr>
            <w:br/>
          </m:r>
        </m:oMath>
      </m:oMathPara>
    </w:p>
    <w:p w14:paraId="2A8A2651"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not the reverse.</w:t>
      </w:r>
    </w:p>
    <w:p w14:paraId="10ECC041"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6DF107C1">
          <v:rect id="_x0000_i2105" style="width:0;height:1.5pt" o:hralign="center" o:hrstd="t" o:hr="t" fillcolor="#a0a0a0" stroked="f"/>
        </w:pict>
      </w:r>
    </w:p>
    <w:p w14:paraId="65983462"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33. Central economic hypothesis</w:t>
      </w:r>
    </w:p>
    <w:p w14:paraId="1B1E8B5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eventual report should emphasize that conventional trend following and the proposed model ask subtly different questions.</w:t>
      </w:r>
    </w:p>
    <w:p w14:paraId="7DD4461E"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Conventional TSMOM</w:t>
      </w:r>
    </w:p>
    <w:p w14:paraId="5392F1F8"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Is this sector's trend broadly favourable or unfavourable?</w:t>
      </w:r>
    </w:p>
    <w:p w14:paraId="4759A7B6"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Proposed state-dependent model</w:t>
      </w:r>
    </w:p>
    <w:p w14:paraId="5583CB2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Where is this sector within the evolution of its trend, and therefore how aggressively should the portfolio allocate capital to it relative to other sectors?</w:t>
      </w:r>
    </w:p>
    <w:p w14:paraId="3C168A4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Consider two sectors with positive 12-month momentum:</w:t>
      </w:r>
    </w:p>
    <w:p w14:paraId="47C405E9"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 xml:space="preserve">                    TSMOM        State model</w:t>
      </w:r>
    </w:p>
    <w:p w14:paraId="46238AFE"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p>
    <w:p w14:paraId="5C9819D3"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Industrials           +         Accumulation</w:t>
      </w:r>
    </w:p>
    <w:p w14:paraId="52238E8A" w14:textId="77777777" w:rsidR="00A27CC6" w:rsidRPr="00A27CC6" w:rsidRDefault="00A27CC6" w:rsidP="00A2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16"/>
          <w:szCs w:val="16"/>
          <w:lang w:eastAsia="en-GB"/>
          <w14:ligatures w14:val="none"/>
        </w:rPr>
      </w:pPr>
      <w:r w:rsidRPr="00A27CC6">
        <w:rPr>
          <w:rFonts w:ascii="Calibri" w:eastAsia="Times New Roman" w:hAnsi="Calibri" w:cs="Calibri"/>
          <w:kern w:val="0"/>
          <w:sz w:val="16"/>
          <w:szCs w:val="16"/>
          <w:lang w:eastAsia="en-GB"/>
          <w14:ligatures w14:val="none"/>
        </w:rPr>
        <w:t>Utilities              +         Profit taking</w:t>
      </w:r>
    </w:p>
    <w:p w14:paraId="39202AA3"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TSMOM sees two positive trends.</w:t>
      </w:r>
    </w:p>
    <w:p w14:paraId="2210754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The proposed model sees a potential </w:t>
      </w:r>
      <w:r w:rsidRPr="00A27CC6">
        <w:rPr>
          <w:rFonts w:ascii="Calibri" w:eastAsia="Times New Roman" w:hAnsi="Calibri" w:cs="Calibri"/>
          <w:b/>
          <w:bCs/>
          <w:kern w:val="0"/>
          <w:sz w:val="20"/>
          <w:szCs w:val="20"/>
          <w:lang w:eastAsia="en-GB"/>
          <w14:ligatures w14:val="none"/>
        </w:rPr>
        <w:t>relative capital-rotation opportunity</w:t>
      </w:r>
      <w:r w:rsidRPr="00A27CC6">
        <w:rPr>
          <w:rFonts w:ascii="Calibri" w:eastAsia="Times New Roman" w:hAnsi="Calibri" w:cs="Calibri"/>
          <w:kern w:val="0"/>
          <w:sz w:val="20"/>
          <w:szCs w:val="20"/>
          <w:lang w:eastAsia="en-GB"/>
          <w14:ligatures w14:val="none"/>
        </w:rPr>
        <w:t>:</w:t>
      </w:r>
    </w:p>
    <w:p w14:paraId="6C6FD1E6"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m:oMathPara>
        <m:oMath>
          <m:r>
            <w:rPr>
              <w:rFonts w:ascii="Cambria Math" w:eastAsia="Times New Roman" w:hAnsi="Cambria Math" w:cs="Calibri"/>
              <w:kern w:val="0"/>
              <w:sz w:val="20"/>
              <w:szCs w:val="20"/>
              <w:lang w:eastAsia="en-GB"/>
              <w14:ligatures w14:val="none"/>
            </w:rPr>
            <m:t>Utilities→Industrials.</m:t>
          </m:r>
          <m:r>
            <w:rPr>
              <w:rFonts w:ascii="Calibri" w:eastAsia="Times New Roman" w:hAnsi="Calibri" w:cs="Calibri"/>
              <w:i/>
              <w:kern w:val="0"/>
              <w:sz w:val="20"/>
              <w:szCs w:val="20"/>
              <w:lang w:eastAsia="en-GB"/>
              <w14:ligatures w14:val="none"/>
            </w:rPr>
            <w:br/>
          </m:r>
        </m:oMath>
      </m:oMathPara>
    </w:p>
    <w:p w14:paraId="18D44BBC"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lastRenderedPageBreak/>
        <w:t>That is the principal incremental hypothesis being tested.</w:t>
      </w:r>
    </w:p>
    <w:p w14:paraId="236A236C"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52C378AA">
          <v:rect id="_x0000_i2106" style="width:0;height:1.5pt" o:hralign="center" o:hrstd="t" o:hr="t" fillcolor="#a0a0a0" stroked="f"/>
        </w:pict>
      </w:r>
    </w:p>
    <w:p w14:paraId="39DD9B96"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34. What would constitute a successful result?</w:t>
      </w:r>
    </w:p>
    <w:p w14:paraId="05A6898F"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Success does </w:t>
      </w:r>
      <w:r w:rsidRPr="00A27CC6">
        <w:rPr>
          <w:rFonts w:ascii="Calibri" w:eastAsia="Times New Roman" w:hAnsi="Calibri" w:cs="Calibri"/>
          <w:b/>
          <w:bCs/>
          <w:kern w:val="0"/>
          <w:sz w:val="20"/>
          <w:szCs w:val="20"/>
          <w:lang w:eastAsia="en-GB"/>
          <w14:ligatures w14:val="none"/>
        </w:rPr>
        <w:t>not</w:t>
      </w:r>
      <w:r w:rsidRPr="00A27CC6">
        <w:rPr>
          <w:rFonts w:ascii="Calibri" w:eastAsia="Times New Roman" w:hAnsi="Calibri" w:cs="Calibri"/>
          <w:kern w:val="0"/>
          <w:sz w:val="20"/>
          <w:szCs w:val="20"/>
          <w:lang w:eastAsia="en-GB"/>
          <w14:ligatures w14:val="none"/>
        </w:rPr>
        <w:t xml:space="preserve"> require the proposed model to have the highest CAGR.</w:t>
      </w:r>
    </w:p>
    <w:p w14:paraId="60F7F20A"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compelling result could take several forms:</w:t>
      </w:r>
    </w:p>
    <w:p w14:paraId="230D413A"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higher Sharpe; </w:t>
      </w:r>
    </w:p>
    <w:p w14:paraId="4E8C0E82"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higher information ratio; </w:t>
      </w:r>
    </w:p>
    <w:p w14:paraId="6E157328"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lower maximum drawdown; </w:t>
      </w:r>
    </w:p>
    <w:p w14:paraId="47EFAEE1"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better downside capture; </w:t>
      </w:r>
    </w:p>
    <w:p w14:paraId="5114D690"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similar return with less volatility; </w:t>
      </w:r>
    </w:p>
    <w:p w14:paraId="27783093"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superior active return per unit of tracking error; </w:t>
      </w:r>
    </w:p>
    <w:p w14:paraId="48EC3E36"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economically intuitive rotations; </w:t>
      </w:r>
    </w:p>
    <w:p w14:paraId="2A1B6A0C" w14:textId="77777777" w:rsidR="00A27CC6" w:rsidRPr="00A27CC6" w:rsidRDefault="00A27CC6">
      <w:pPr>
        <w:numPr>
          <w:ilvl w:val="0"/>
          <w:numId w:val="30"/>
        </w:num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 xml:space="preserve">improved capital allocation around important cycle transitions. </w:t>
      </w:r>
    </w:p>
    <w:p w14:paraId="78C00C5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Likewise, if TSMOM beats the proposed strategy, that is still useful.</w:t>
      </w:r>
    </w:p>
    <w:p w14:paraId="7AA5AE4E"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The project should be framed as an empirical investigation, not an exercise designed to prove that the proprietary indicator works.</w:t>
      </w:r>
    </w:p>
    <w:p w14:paraId="411CE4BD"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2FF8EDD9">
          <v:rect id="_x0000_i2107" style="width:0;height:1.5pt" o:hralign="center" o:hrstd="t" o:hr="t" fillcolor="#a0a0a0" stroked="f"/>
        </w:pict>
      </w:r>
    </w:p>
    <w:p w14:paraId="0C8010FD"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35. Recommended final research question</w:t>
      </w:r>
    </w:p>
    <w:p w14:paraId="281863B9"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I would use approximately this wording:</w:t>
      </w:r>
    </w:p>
    <w:p w14:paraId="4AB67152"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Can state-dependent price-trend signals improve active U.S. equity sector allocation relative to passive market exposure and conventional time-series momentum?</w:t>
      </w:r>
    </w:p>
    <w:p w14:paraId="54262AB5"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A more technical formulation:</w:t>
      </w:r>
    </w:p>
    <w:p w14:paraId="57414C60"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This study investigates whether a state-dependent trend model incorporating gradual accumulation, pullback allocation and profit-taking can improve risk-adjusted and benchmark-relative performance when used to systematically over- and underweight U.S. equity sectors.</w:t>
      </w:r>
    </w:p>
    <w:p w14:paraId="7F1BEAEB" w14:textId="77777777" w:rsidR="00A27CC6" w:rsidRPr="00A27CC6" w:rsidRDefault="00A27CC6" w:rsidP="00A27CC6">
      <w:pPr>
        <w:spacing w:after="0"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pict w14:anchorId="7BC95A5F">
          <v:rect id="_x0000_i2108" style="width:0;height:1.5pt" o:hralign="center" o:hrstd="t" o:hr="t" fillcolor="#a0a0a0" stroked="f"/>
        </w:pict>
      </w:r>
    </w:p>
    <w:p w14:paraId="6D1036B9" w14:textId="77777777" w:rsidR="00A27CC6" w:rsidRPr="00A27CC6" w:rsidRDefault="00A27CC6" w:rsidP="00A27CC6">
      <w:pPr>
        <w:spacing w:before="100" w:beforeAutospacing="1" w:after="100" w:afterAutospacing="1" w:line="240" w:lineRule="auto"/>
        <w:outlineLvl w:val="0"/>
        <w:rPr>
          <w:rFonts w:ascii="Calibri" w:eastAsia="Times New Roman" w:hAnsi="Calibri" w:cs="Calibri"/>
          <w:b/>
          <w:bCs/>
          <w:kern w:val="36"/>
          <w:sz w:val="40"/>
          <w:szCs w:val="40"/>
          <w:lang w:eastAsia="en-GB"/>
          <w14:ligatures w14:val="none"/>
        </w:rPr>
      </w:pPr>
      <w:r w:rsidRPr="00A27CC6">
        <w:rPr>
          <w:rFonts w:ascii="Calibri" w:eastAsia="Times New Roman" w:hAnsi="Calibri" w:cs="Calibri"/>
          <w:b/>
          <w:bCs/>
          <w:kern w:val="36"/>
          <w:sz w:val="40"/>
          <w:szCs w:val="40"/>
          <w:lang w:eastAsia="en-GB"/>
          <w14:ligatures w14:val="none"/>
        </w:rPr>
        <w:t>36. Recommended project title</w:t>
      </w:r>
    </w:p>
    <w:p w14:paraId="22105311" w14:textId="77777777" w:rsidR="00A27CC6" w:rsidRPr="00A27CC6" w:rsidRDefault="00A27CC6" w:rsidP="00A27CC6">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A27CC6">
        <w:rPr>
          <w:rFonts w:ascii="Calibri" w:eastAsia="Times New Roman" w:hAnsi="Calibri" w:cs="Calibri"/>
          <w:b/>
          <w:bCs/>
          <w:kern w:val="0"/>
          <w:sz w:val="22"/>
          <w:szCs w:val="22"/>
          <w:lang w:eastAsia="en-GB"/>
          <w14:ligatures w14:val="none"/>
        </w:rPr>
        <w:t>State-Dependent U.S. Equity Sector Rotation</w:t>
      </w:r>
    </w:p>
    <w:p w14:paraId="674F7064"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Subtitle:</w:t>
      </w:r>
    </w:p>
    <w:p w14:paraId="6D979586"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b/>
          <w:bCs/>
          <w:kern w:val="0"/>
          <w:sz w:val="20"/>
          <w:szCs w:val="20"/>
          <w:lang w:eastAsia="en-GB"/>
          <w14:ligatures w14:val="none"/>
        </w:rPr>
        <w:t>A Systematic Framework for Trend-Based Active Sector Allocation</w:t>
      </w:r>
    </w:p>
    <w:p w14:paraId="6B5036C7" w14:textId="77777777" w:rsidR="00A27CC6" w:rsidRPr="00A27CC6" w:rsidRDefault="00A27CC6" w:rsidP="00A27CC6">
      <w:pPr>
        <w:spacing w:before="100" w:beforeAutospacing="1" w:after="100" w:afterAutospacing="1" w:line="240" w:lineRule="auto"/>
        <w:rPr>
          <w:rFonts w:ascii="Calibri" w:eastAsia="Times New Roman" w:hAnsi="Calibri" w:cs="Calibri"/>
          <w:kern w:val="0"/>
          <w:sz w:val="20"/>
          <w:szCs w:val="20"/>
          <w:lang w:eastAsia="en-GB"/>
          <w14:ligatures w14:val="none"/>
        </w:rPr>
      </w:pPr>
      <w:r w:rsidRPr="00A27CC6">
        <w:rPr>
          <w:rFonts w:ascii="Calibri" w:eastAsia="Times New Roman" w:hAnsi="Calibri" w:cs="Calibri"/>
          <w:kern w:val="0"/>
          <w:sz w:val="20"/>
          <w:szCs w:val="20"/>
          <w:lang w:eastAsia="en-GB"/>
          <w14:ligatures w14:val="none"/>
        </w:rPr>
        <w:t>That sounds much closer to what the project actually is than calling it another trend-following strategy.</w:t>
      </w:r>
    </w:p>
    <w:p w14:paraId="3853BB37" w14:textId="77777777" w:rsidR="000870DF" w:rsidRDefault="000870DF"/>
    <w:sectPr w:rsidR="000870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833"/>
    <w:multiLevelType w:val="multilevel"/>
    <w:tmpl w:val="5D9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0CE8"/>
    <w:multiLevelType w:val="multilevel"/>
    <w:tmpl w:val="C97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E5392"/>
    <w:multiLevelType w:val="multilevel"/>
    <w:tmpl w:val="7E1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175E"/>
    <w:multiLevelType w:val="multilevel"/>
    <w:tmpl w:val="3D8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C5CF9"/>
    <w:multiLevelType w:val="multilevel"/>
    <w:tmpl w:val="22A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12D73"/>
    <w:multiLevelType w:val="multilevel"/>
    <w:tmpl w:val="9E2C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27E01"/>
    <w:multiLevelType w:val="multilevel"/>
    <w:tmpl w:val="6E8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D4BA1"/>
    <w:multiLevelType w:val="multilevel"/>
    <w:tmpl w:val="5CD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D0E7B"/>
    <w:multiLevelType w:val="multilevel"/>
    <w:tmpl w:val="73B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151DF"/>
    <w:multiLevelType w:val="multilevel"/>
    <w:tmpl w:val="62D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4080B"/>
    <w:multiLevelType w:val="multilevel"/>
    <w:tmpl w:val="570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A54F9"/>
    <w:multiLevelType w:val="multilevel"/>
    <w:tmpl w:val="426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94E92"/>
    <w:multiLevelType w:val="multilevel"/>
    <w:tmpl w:val="DE6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301A4"/>
    <w:multiLevelType w:val="multilevel"/>
    <w:tmpl w:val="57B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87A79"/>
    <w:multiLevelType w:val="multilevel"/>
    <w:tmpl w:val="8416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742B6"/>
    <w:multiLevelType w:val="multilevel"/>
    <w:tmpl w:val="234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87C01"/>
    <w:multiLevelType w:val="multilevel"/>
    <w:tmpl w:val="14C8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046EE"/>
    <w:multiLevelType w:val="multilevel"/>
    <w:tmpl w:val="CCF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65A10"/>
    <w:multiLevelType w:val="multilevel"/>
    <w:tmpl w:val="B7C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837BF"/>
    <w:multiLevelType w:val="multilevel"/>
    <w:tmpl w:val="9E7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30369"/>
    <w:multiLevelType w:val="multilevel"/>
    <w:tmpl w:val="0C8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A0998"/>
    <w:multiLevelType w:val="multilevel"/>
    <w:tmpl w:val="7EA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E49A8"/>
    <w:multiLevelType w:val="multilevel"/>
    <w:tmpl w:val="11C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00022"/>
    <w:multiLevelType w:val="multilevel"/>
    <w:tmpl w:val="B12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0093B"/>
    <w:multiLevelType w:val="multilevel"/>
    <w:tmpl w:val="8F8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B2C58"/>
    <w:multiLevelType w:val="multilevel"/>
    <w:tmpl w:val="EE1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F122C"/>
    <w:multiLevelType w:val="multilevel"/>
    <w:tmpl w:val="C0AE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C49C2"/>
    <w:multiLevelType w:val="multilevel"/>
    <w:tmpl w:val="BF78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2386C"/>
    <w:multiLevelType w:val="multilevel"/>
    <w:tmpl w:val="768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BB7B0C"/>
    <w:multiLevelType w:val="multilevel"/>
    <w:tmpl w:val="779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786839">
    <w:abstractNumId w:val="8"/>
  </w:num>
  <w:num w:numId="2" w16cid:durableId="1223178361">
    <w:abstractNumId w:val="21"/>
  </w:num>
  <w:num w:numId="3" w16cid:durableId="1884905218">
    <w:abstractNumId w:val="14"/>
  </w:num>
  <w:num w:numId="4" w16cid:durableId="121046006">
    <w:abstractNumId w:val="15"/>
  </w:num>
  <w:num w:numId="5" w16cid:durableId="930889186">
    <w:abstractNumId w:val="19"/>
  </w:num>
  <w:num w:numId="6" w16cid:durableId="1615209812">
    <w:abstractNumId w:val="12"/>
  </w:num>
  <w:num w:numId="7" w16cid:durableId="189299069">
    <w:abstractNumId w:val="3"/>
  </w:num>
  <w:num w:numId="8" w16cid:durableId="773748330">
    <w:abstractNumId w:val="28"/>
  </w:num>
  <w:num w:numId="9" w16cid:durableId="132993071">
    <w:abstractNumId w:val="1"/>
  </w:num>
  <w:num w:numId="10" w16cid:durableId="440876287">
    <w:abstractNumId w:val="20"/>
  </w:num>
  <w:num w:numId="11" w16cid:durableId="1134450397">
    <w:abstractNumId w:val="9"/>
  </w:num>
  <w:num w:numId="12" w16cid:durableId="1870139983">
    <w:abstractNumId w:val="2"/>
  </w:num>
  <w:num w:numId="13" w16cid:durableId="1422336660">
    <w:abstractNumId w:val="17"/>
  </w:num>
  <w:num w:numId="14" w16cid:durableId="1363282780">
    <w:abstractNumId w:val="16"/>
  </w:num>
  <w:num w:numId="15" w16cid:durableId="556935175">
    <w:abstractNumId w:val="0"/>
  </w:num>
  <w:num w:numId="16" w16cid:durableId="2038701148">
    <w:abstractNumId w:val="24"/>
  </w:num>
  <w:num w:numId="17" w16cid:durableId="727190719">
    <w:abstractNumId w:val="7"/>
  </w:num>
  <w:num w:numId="18" w16cid:durableId="1074008117">
    <w:abstractNumId w:val="5"/>
  </w:num>
  <w:num w:numId="19" w16cid:durableId="2015839533">
    <w:abstractNumId w:val="27"/>
  </w:num>
  <w:num w:numId="20" w16cid:durableId="1539396839">
    <w:abstractNumId w:val="29"/>
  </w:num>
  <w:num w:numId="21" w16cid:durableId="1624459252">
    <w:abstractNumId w:val="23"/>
  </w:num>
  <w:num w:numId="22" w16cid:durableId="1595556619">
    <w:abstractNumId w:val="6"/>
  </w:num>
  <w:num w:numId="23" w16cid:durableId="1310675465">
    <w:abstractNumId w:val="10"/>
  </w:num>
  <w:num w:numId="24" w16cid:durableId="2126850733">
    <w:abstractNumId w:val="26"/>
  </w:num>
  <w:num w:numId="25" w16cid:durableId="832794558">
    <w:abstractNumId w:val="22"/>
  </w:num>
  <w:num w:numId="26" w16cid:durableId="1976597183">
    <w:abstractNumId w:val="4"/>
  </w:num>
  <w:num w:numId="27" w16cid:durableId="1089891568">
    <w:abstractNumId w:val="11"/>
  </w:num>
  <w:num w:numId="28" w16cid:durableId="1840727734">
    <w:abstractNumId w:val="25"/>
  </w:num>
  <w:num w:numId="29" w16cid:durableId="67117739">
    <w:abstractNumId w:val="13"/>
  </w:num>
  <w:num w:numId="30" w16cid:durableId="346754818">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6C"/>
    <w:rsid w:val="00022965"/>
    <w:rsid w:val="000870DF"/>
    <w:rsid w:val="004B2A97"/>
    <w:rsid w:val="00871D6C"/>
    <w:rsid w:val="00A27CC6"/>
    <w:rsid w:val="00C900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8C58B"/>
  <w15:chartTrackingRefBased/>
  <w15:docId w15:val="{719D8A33-7901-43A4-B960-CF183439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D6C"/>
    <w:rPr>
      <w:rFonts w:eastAsiaTheme="majorEastAsia" w:cstheme="majorBidi"/>
      <w:color w:val="272727" w:themeColor="text1" w:themeTint="D8"/>
    </w:rPr>
  </w:style>
  <w:style w:type="paragraph" w:styleId="Title">
    <w:name w:val="Title"/>
    <w:basedOn w:val="Normal"/>
    <w:next w:val="Normal"/>
    <w:link w:val="TitleChar"/>
    <w:uiPriority w:val="10"/>
    <w:qFormat/>
    <w:rsid w:val="0087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D6C"/>
    <w:pPr>
      <w:spacing w:before="160"/>
      <w:jc w:val="center"/>
    </w:pPr>
    <w:rPr>
      <w:i/>
      <w:iCs/>
      <w:color w:val="404040" w:themeColor="text1" w:themeTint="BF"/>
    </w:rPr>
  </w:style>
  <w:style w:type="character" w:customStyle="1" w:styleId="QuoteChar">
    <w:name w:val="Quote Char"/>
    <w:basedOn w:val="DefaultParagraphFont"/>
    <w:link w:val="Quote"/>
    <w:uiPriority w:val="29"/>
    <w:rsid w:val="00871D6C"/>
    <w:rPr>
      <w:i/>
      <w:iCs/>
      <w:color w:val="404040" w:themeColor="text1" w:themeTint="BF"/>
    </w:rPr>
  </w:style>
  <w:style w:type="paragraph" w:styleId="ListParagraph">
    <w:name w:val="List Paragraph"/>
    <w:basedOn w:val="Normal"/>
    <w:uiPriority w:val="34"/>
    <w:qFormat/>
    <w:rsid w:val="00871D6C"/>
    <w:pPr>
      <w:ind w:left="720"/>
      <w:contextualSpacing/>
    </w:pPr>
  </w:style>
  <w:style w:type="character" w:styleId="IntenseEmphasis">
    <w:name w:val="Intense Emphasis"/>
    <w:basedOn w:val="DefaultParagraphFont"/>
    <w:uiPriority w:val="21"/>
    <w:qFormat/>
    <w:rsid w:val="00871D6C"/>
    <w:rPr>
      <w:i/>
      <w:iCs/>
      <w:color w:val="0F4761" w:themeColor="accent1" w:themeShade="BF"/>
    </w:rPr>
  </w:style>
  <w:style w:type="paragraph" w:styleId="IntenseQuote">
    <w:name w:val="Intense Quote"/>
    <w:basedOn w:val="Normal"/>
    <w:next w:val="Normal"/>
    <w:link w:val="IntenseQuoteChar"/>
    <w:uiPriority w:val="30"/>
    <w:qFormat/>
    <w:rsid w:val="0087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D6C"/>
    <w:rPr>
      <w:i/>
      <w:iCs/>
      <w:color w:val="0F4761" w:themeColor="accent1" w:themeShade="BF"/>
    </w:rPr>
  </w:style>
  <w:style w:type="character" w:styleId="IntenseReference">
    <w:name w:val="Intense Reference"/>
    <w:basedOn w:val="DefaultParagraphFont"/>
    <w:uiPriority w:val="32"/>
    <w:qFormat/>
    <w:rsid w:val="00871D6C"/>
    <w:rPr>
      <w:b/>
      <w:bCs/>
      <w:smallCaps/>
      <w:color w:val="0F4761" w:themeColor="accent1" w:themeShade="BF"/>
      <w:spacing w:val="5"/>
    </w:rPr>
  </w:style>
  <w:style w:type="numbering" w:customStyle="1" w:styleId="NoList1">
    <w:name w:val="No List1"/>
    <w:next w:val="NoList"/>
    <w:uiPriority w:val="99"/>
    <w:semiHidden/>
    <w:unhideWhenUsed/>
    <w:rsid w:val="00871D6C"/>
  </w:style>
  <w:style w:type="paragraph" w:customStyle="1" w:styleId="msonormal0">
    <w:name w:val="msonormal"/>
    <w:basedOn w:val="Normal"/>
    <w:rsid w:val="00871D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71D6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1D6C"/>
    <w:rPr>
      <w:b/>
      <w:bCs/>
    </w:rPr>
  </w:style>
  <w:style w:type="character" w:styleId="HTMLCode">
    <w:name w:val="HTML Code"/>
    <w:basedOn w:val="DefaultParagraphFont"/>
    <w:uiPriority w:val="99"/>
    <w:semiHidden/>
    <w:unhideWhenUsed/>
    <w:rsid w:val="00871D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71D6C"/>
    <w:rPr>
      <w:rFonts w:ascii="Courier New" w:eastAsia="Times New Roman" w:hAnsi="Courier New" w:cs="Courier New"/>
      <w:kern w:val="0"/>
      <w:sz w:val="20"/>
      <w:szCs w:val="20"/>
      <w:lang w:eastAsia="en-GB"/>
      <w14:ligatures w14:val="none"/>
    </w:rPr>
  </w:style>
  <w:style w:type="numbering" w:customStyle="1" w:styleId="NoList2">
    <w:name w:val="No List2"/>
    <w:next w:val="NoList"/>
    <w:uiPriority w:val="99"/>
    <w:semiHidden/>
    <w:unhideWhenUsed/>
    <w:rsid w:val="00A27CC6"/>
  </w:style>
  <w:style w:type="paragraph" w:customStyle="1" w:styleId="pdq2pgselectionanchorcontainer">
    <w:name w:val="pdq2pg_selectionanchorcontainer"/>
    <w:basedOn w:val="Normal"/>
    <w:rsid w:val="00A27CC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pdq2pgselectionanchor">
    <w:name w:val="pdq2pg_selectionanchor"/>
    <w:basedOn w:val="DefaultParagraphFont"/>
    <w:rsid w:val="00A27CC6"/>
  </w:style>
  <w:style w:type="character" w:customStyle="1" w:styleId="katex">
    <w:name w:val="katex"/>
    <w:basedOn w:val="DefaultParagraphFont"/>
    <w:rsid w:val="00A27CC6"/>
  </w:style>
  <w:style w:type="character" w:customStyle="1" w:styleId="contents">
    <w:name w:val="contents"/>
    <w:basedOn w:val="DefaultParagraphFont"/>
    <w:rsid w:val="00A27CC6"/>
  </w:style>
  <w:style w:type="character" w:customStyle="1" w:styleId="text-xs">
    <w:name w:val="text-xs"/>
    <w:basedOn w:val="DefaultParagraphFont"/>
    <w:rsid w:val="00A27CC6"/>
  </w:style>
  <w:style w:type="character" w:customStyle="1" w:styleId="m">
    <w:name w:val="ͼm"/>
    <w:basedOn w:val="DefaultParagraphFont"/>
    <w:rsid w:val="00A27CC6"/>
  </w:style>
  <w:style w:type="character" w:customStyle="1" w:styleId="g">
    <w:name w:val="ͼg"/>
    <w:basedOn w:val="DefaultParagraphFont"/>
    <w:rsid w:val="00A27CC6"/>
  </w:style>
  <w:style w:type="character" w:customStyle="1" w:styleId="j">
    <w:name w:val="ͼj"/>
    <w:basedOn w:val="DefaultParagraphFont"/>
    <w:rsid w:val="00A27CC6"/>
  </w:style>
  <w:style w:type="character" w:customStyle="1" w:styleId="k">
    <w:name w:val="ͼk"/>
    <w:basedOn w:val="DefaultParagraphFont"/>
    <w:rsid w:val="00A27CC6"/>
  </w:style>
  <w:style w:type="character" w:styleId="Emphasis">
    <w:name w:val="Emphasis"/>
    <w:basedOn w:val="DefaultParagraphFont"/>
    <w:uiPriority w:val="20"/>
    <w:qFormat/>
    <w:rsid w:val="00A27C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4169</Words>
  <Characters>23769</Characters>
  <Application>Microsoft Office Word</Application>
  <DocSecurity>0</DocSecurity>
  <Lines>198</Lines>
  <Paragraphs>55</Paragraphs>
  <ScaleCrop>false</ScaleCrop>
  <Company/>
  <LinksUpToDate>false</LinksUpToDate>
  <CharactersWithSpaces>27883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Worlock</dc:creator>
  <cp:keywords/>
  <dc:description/>
  <cp:lastModifiedBy>Jeremy Worlock</cp:lastModifiedBy>
  <cp:revision>2</cp:revision>
  <dcterms:created xsi:type="dcterms:W3CDTF">2026-08-29T19:44:00Z</dcterms:created>
  <dcterms:modified xsi:type="dcterms:W3CDTF">2026-08-29T19:44:00Z</dcterms:modified>
</cp:coreProperties>
</file>