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47003" w14:textId="77777777" w:rsidR="00E9483E" w:rsidRPr="00E9483E" w:rsidRDefault="00E9483E" w:rsidP="00E9483E">
      <w:pPr>
        <w:shd w:val="clear" w:color="auto" w:fill="FFFFFF"/>
        <w:spacing w:before="150" w:after="320"/>
        <w:jc w:val="center"/>
        <w:outlineLvl w:val="0"/>
        <w:rPr>
          <w:rFonts w:ascii="Arial" w:eastAsia="Times New Roman" w:hAnsi="Arial" w:cs="Arial"/>
          <w:b/>
          <w:bCs/>
          <w:color w:val="014783"/>
          <w:kern w:val="36"/>
          <w:sz w:val="24"/>
          <w:szCs w:val="24"/>
          <w:lang w:eastAsia="ru-RU"/>
        </w:rPr>
      </w:pPr>
      <w:bookmarkStart w:id="0" w:name="_GoBack"/>
      <w:bookmarkEnd w:id="0"/>
      <w:r w:rsidRPr="00E9483E">
        <w:rPr>
          <w:rFonts w:ascii="Arial" w:eastAsia="Times New Roman" w:hAnsi="Arial" w:cs="Arial"/>
          <w:b/>
          <w:bCs/>
          <w:color w:val="014783"/>
          <w:kern w:val="36"/>
          <w:sz w:val="24"/>
          <w:szCs w:val="24"/>
          <w:lang w:eastAsia="ru-RU"/>
        </w:rPr>
        <w:t>Метод рыночной экстракции — инструмент для анализа реальных и номинальных ставок, рисков инвестиций</w:t>
      </w:r>
    </w:p>
    <w:p w14:paraId="23A9EE19" w14:textId="77777777" w:rsidR="00E9483E" w:rsidRPr="00E9483E" w:rsidRDefault="00E9483E" w:rsidP="00E9483E">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hyperlink r:id="rId4" w:history="1">
        <w:r w:rsidRPr="00E9483E">
          <w:rPr>
            <w:rFonts w:ascii="Arial" w:eastAsia="Times New Roman" w:hAnsi="Arial" w:cs="Arial"/>
            <w:color w:val="0000FF"/>
            <w:sz w:val="20"/>
            <w:szCs w:val="20"/>
            <w:u w:val="single"/>
            <w:lang w:eastAsia="ru-RU"/>
          </w:rPr>
          <w:t>А.Н. Фоменко</w:t>
        </w:r>
      </w:hyperlink>
      <w:r w:rsidRPr="00E9483E">
        <w:rPr>
          <w:rFonts w:ascii="Arial" w:eastAsia="Times New Roman" w:hAnsi="Arial" w:cs="Arial"/>
          <w:color w:val="000000"/>
          <w:sz w:val="20"/>
          <w:szCs w:val="20"/>
          <w:lang w:eastAsia="ru-RU"/>
        </w:rPr>
        <w:t>, практикующий оценщик, канд. техн. наук,</w:t>
      </w:r>
      <w:r w:rsidRPr="00E9483E">
        <w:rPr>
          <w:rFonts w:ascii="Arial" w:eastAsia="Times New Roman" w:hAnsi="Arial" w:cs="Arial"/>
          <w:color w:val="000000"/>
          <w:sz w:val="20"/>
          <w:szCs w:val="20"/>
          <w:lang w:eastAsia="ru-RU"/>
        </w:rPr>
        <w:br/>
        <w:t>г. Москва</w:t>
      </w:r>
    </w:p>
    <w:p w14:paraId="491FEF60" w14:textId="77777777" w:rsidR="00E9483E" w:rsidRPr="00E9483E" w:rsidRDefault="00E9483E" w:rsidP="00E9483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Введение</w:t>
      </w:r>
    </w:p>
    <w:p w14:paraId="692F1BDA"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 последнее время метод рыночной экстракции достаточно часто применяют на практике при оценке стоимости различных активов для определения ставок дисконтирования. Здесь и далее под активом мы будем преимущественно понимать объект недвижимости, хотя приведенные результаты носят более общий характер. Несмотря на то, что доходный подход при использовании таких ставок теряет независимость от сравнительного подхода, как это отмечалось в [1], применение этого метода позволяет определить действительные рыночные ставки доходности.</w:t>
      </w:r>
    </w:p>
    <w:p w14:paraId="4F4C5C33"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Наиболее часто метод рыночной экстракции реализуют в следующем варианте ([2] и др.):</w:t>
      </w:r>
    </w:p>
    <w:p w14:paraId="3F7A00D8" w14:textId="381E6DB8"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657AF5EB" wp14:editId="50ED3BDD">
            <wp:extent cx="2278380" cy="411480"/>
            <wp:effectExtent l="0" t="0" r="7620"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78380" cy="41148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(1)</w:t>
      </w:r>
    </w:p>
    <w:p w14:paraId="467F4306"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где</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lang w:eastAsia="ru-RU"/>
        </w:rPr>
        <w:t> — коэффициент капитализации;</w:t>
      </w:r>
      <w:r w:rsidRPr="00E9483E">
        <w:rPr>
          <w:rFonts w:ascii="Arial" w:eastAsia="Times New Roman" w:hAnsi="Arial" w:cs="Arial"/>
          <w:color w:val="000000"/>
          <w:sz w:val="20"/>
          <w:szCs w:val="20"/>
          <w:lang w:eastAsia="ru-RU"/>
        </w:rPr>
        <w:br/>
        <w:t>ЧОД — чистый операционный доход;</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С</w:t>
      </w:r>
      <w:r w:rsidRPr="00E9483E">
        <w:rPr>
          <w:rFonts w:ascii="Arial" w:eastAsia="Times New Roman" w:hAnsi="Arial" w:cs="Arial"/>
          <w:color w:val="000000"/>
          <w:sz w:val="20"/>
          <w:szCs w:val="20"/>
          <w:lang w:eastAsia="ru-RU"/>
        </w:rPr>
        <w:t> — стоимость актива;</w:t>
      </w:r>
      <w:r w:rsidRPr="00E9483E">
        <w:rPr>
          <w:rFonts w:ascii="Arial" w:eastAsia="Times New Roman" w:hAnsi="Arial" w:cs="Arial"/>
          <w:color w:val="000000"/>
          <w:sz w:val="20"/>
          <w:szCs w:val="20"/>
          <w:lang w:eastAsia="ru-RU"/>
        </w:rPr>
        <w:br/>
        <w:t>АП — годовая арендная плата;</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а</w:t>
      </w:r>
      <w:r w:rsidRPr="00E9483E">
        <w:rPr>
          <w:rFonts w:ascii="Arial" w:eastAsia="Times New Roman" w:hAnsi="Arial" w:cs="Arial"/>
          <w:color w:val="000000"/>
          <w:sz w:val="20"/>
          <w:szCs w:val="20"/>
          <w:lang w:eastAsia="ru-RU"/>
        </w:rPr>
        <w:t> — доля операционных расходов;</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k</w:t>
      </w:r>
      <w:r w:rsidRPr="00E9483E">
        <w:rPr>
          <w:rFonts w:ascii="Arial" w:eastAsia="Times New Roman" w:hAnsi="Arial" w:cs="Arial"/>
          <w:color w:val="000000"/>
          <w:sz w:val="20"/>
          <w:szCs w:val="20"/>
          <w:lang w:eastAsia="ru-RU"/>
        </w:rPr>
        <w:t> — объем выборки;</w:t>
      </w:r>
      <w:r w:rsidRPr="00E9483E">
        <w:rPr>
          <w:rFonts w:ascii="Arial" w:eastAsia="Times New Roman" w:hAnsi="Arial" w:cs="Arial"/>
          <w:color w:val="000000"/>
          <w:sz w:val="20"/>
          <w:szCs w:val="20"/>
          <w:lang w:eastAsia="ru-RU"/>
        </w:rPr>
        <w:br/>
        <w:t>индекс «0» соответствует текущему состоянию (на дату оценки).</w:t>
      </w:r>
    </w:p>
    <w:p w14:paraId="1B3B0DE1"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Таким образом, согласно формуле (1) по существу определяется текущая ставка доходности. Но метод прямой капитализации (ПК) предполагает капитализацию прогнозной величины ЧОД на один будущий период ([1] и др.):</w:t>
      </w:r>
    </w:p>
    <w:p w14:paraId="43903C44" w14:textId="56D7F3D4"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3939197B" wp14:editId="04C363CA">
            <wp:extent cx="1760220" cy="411480"/>
            <wp:effectExtent l="0" t="0" r="0" b="7620"/>
            <wp:docPr id="30" name="Рисунок 30"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Фоменко"/>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0220" cy="41148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(2)</w:t>
      </w:r>
    </w:p>
    <w:p w14:paraId="0F64DA24"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где</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lang w:eastAsia="ru-RU"/>
        </w:rPr>
        <w:t> — ставка доходности (дисконтирования);</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w:t>
      </w:r>
      <w:r w:rsidRPr="00E9483E">
        <w:rPr>
          <w:rFonts w:ascii="Arial" w:eastAsia="Times New Roman" w:hAnsi="Arial" w:cs="Arial"/>
          <w:color w:val="000000"/>
          <w:sz w:val="20"/>
          <w:szCs w:val="20"/>
          <w:lang w:eastAsia="ru-RU"/>
        </w:rPr>
        <w:t> — фактор фонда возмещения (норма возврата капитала);</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t</w:t>
      </w:r>
      <w:r w:rsidRPr="00E9483E">
        <w:rPr>
          <w:rFonts w:ascii="Arial" w:eastAsia="Times New Roman" w:hAnsi="Arial" w:cs="Arial"/>
          <w:color w:val="000000"/>
          <w:sz w:val="20"/>
          <w:szCs w:val="20"/>
          <w:vertAlign w:val="subscript"/>
          <w:lang w:eastAsia="ru-RU"/>
        </w:rPr>
        <w:t>ч</w:t>
      </w:r>
      <w:r w:rsidRPr="00E9483E">
        <w:rPr>
          <w:rFonts w:ascii="Arial" w:eastAsia="Times New Roman" w:hAnsi="Arial" w:cs="Arial"/>
          <w:color w:val="000000"/>
          <w:sz w:val="20"/>
          <w:szCs w:val="20"/>
          <w:lang w:eastAsia="ru-RU"/>
        </w:rPr>
        <w:t> — годовой темп роста ЧОД;</w:t>
      </w:r>
      <w:r w:rsidRPr="00E9483E">
        <w:rPr>
          <w:rFonts w:ascii="Arial" w:eastAsia="Times New Roman" w:hAnsi="Arial" w:cs="Arial"/>
          <w:color w:val="000000"/>
          <w:sz w:val="20"/>
          <w:szCs w:val="20"/>
          <w:lang w:eastAsia="ru-RU"/>
        </w:rPr>
        <w:br/>
        <w:t>индекс «1» соответствует прогнозному значению на 1 период (год) вперед.</w:t>
      </w:r>
    </w:p>
    <w:p w14:paraId="2B115DF6"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Итак, налицо несоответствие между зависимостями (1) и (2). Действительно, если подставим значение коэффициента капитализации, рассчитанное по зависимости (1), в зависимость (2), то получим смещенную относительно истинного значения оценку стоимости, т. е. при этом возникнет систематическая погрешность. Одним из вариантов устранения систематической погрешности является выполнение </w:t>
      </w:r>
      <w:hyperlink r:id="rId7" w:history="1">
        <w:r w:rsidRPr="00E9483E">
          <w:rPr>
            <w:rFonts w:ascii="Arial" w:eastAsia="Times New Roman" w:hAnsi="Arial" w:cs="Arial"/>
            <w:color w:val="0000FF"/>
            <w:sz w:val="20"/>
            <w:szCs w:val="20"/>
            <w:u w:val="single"/>
            <w:lang w:eastAsia="ru-RU"/>
          </w:rPr>
          <w:t>рыночной экстракции</w:t>
        </w:r>
      </w:hyperlink>
      <w:r w:rsidRPr="00E9483E">
        <w:rPr>
          <w:rFonts w:ascii="Arial" w:eastAsia="Times New Roman" w:hAnsi="Arial" w:cs="Arial"/>
          <w:color w:val="000000"/>
          <w:sz w:val="20"/>
          <w:szCs w:val="20"/>
          <w:lang w:eastAsia="ru-RU"/>
        </w:rPr>
        <w:t> на основе зависимости (2), как, например, предложено в [3].</w:t>
      </w:r>
      <w:r w:rsidRPr="00E9483E">
        <w:rPr>
          <w:rFonts w:ascii="Arial" w:eastAsia="Times New Roman" w:hAnsi="Arial" w:cs="Arial"/>
          <w:b/>
          <w:bCs/>
          <w:color w:val="000000"/>
          <w:sz w:val="20"/>
          <w:szCs w:val="20"/>
          <w:lang w:eastAsia="ru-RU"/>
        </w:rPr>
        <w:br w:type="textWrapping" w:clear="all"/>
      </w:r>
    </w:p>
    <w:p w14:paraId="544E79C3" w14:textId="77777777" w:rsidR="00E9483E" w:rsidRPr="00E9483E" w:rsidRDefault="00E9483E" w:rsidP="00E9483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lastRenderedPageBreak/>
        <w:t>Определение реальной ставки доходности</w:t>
      </w:r>
    </w:p>
    <w:p w14:paraId="61A20E0C"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Зависимость (1) можно рассматривать как пример использования прогнозного значения ЧОД при отсутствии его роста (отсутствии инфляции ЧОД). Поскольку на реальном рынке инфляция ЧОД всегда существует, то зависимость (1), использующая постоянную величину ЧОД, позволяет определить реальный коэффициент капитализации, основанный на реальной ставке доходности. Здесь и в дальнейшем при написании формул для упрощения выкладок будем опускать усредняющее выражение (сумма элементов выборки, деленная на объем выборки), сводя выборку к одному элементу. С учетом сказанного зависимость для расчета реальной ставка доходности примет вид:</w:t>
      </w:r>
    </w:p>
    <w:p w14:paraId="2101C4E4" w14:textId="15BB6912"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5E9346BE" wp14:editId="4D4CC8AD">
            <wp:extent cx="2217420" cy="411480"/>
            <wp:effectExtent l="0" t="0" r="0" b="7620"/>
            <wp:docPr id="29" name="Рисунок 29"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Фоменко"/>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7420" cy="41148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(3)</w:t>
      </w:r>
    </w:p>
    <w:p w14:paraId="5BEB3332"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где индекс «р» относится к реальным значениям.</w:t>
      </w:r>
    </w:p>
    <w:p w14:paraId="6917F33B"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Однако при использовании зависимости (3) для определения реальной ставки доходности по существу предполагается, что инфляция всех сегментов рынка одинакова. Действительно, применительно к следующему году выражение для экстракции будет выглядеть так:</w:t>
      </w:r>
    </w:p>
    <w:p w14:paraId="56DB181E" w14:textId="01EA8482"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530DD6AA" wp14:editId="22C1DA90">
            <wp:extent cx="4716780" cy="754380"/>
            <wp:effectExtent l="0" t="0" r="7620" b="7620"/>
            <wp:docPr id="28" name="Рисунок 28"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Фоменк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6780" cy="75438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(4)</w:t>
      </w:r>
    </w:p>
    <w:p w14:paraId="2E391024"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где</w:t>
      </w:r>
      <w:r w:rsidRPr="00E9483E">
        <w:rPr>
          <w:rFonts w:ascii="Arial" w:eastAsia="Times New Roman" w:hAnsi="Arial" w:cs="Arial"/>
          <w:color w:val="000000"/>
          <w:sz w:val="20"/>
          <w:szCs w:val="20"/>
          <w:lang w:eastAsia="ru-RU"/>
        </w:rPr>
        <w:br/>
        <w:t>ОР — операционные расходы за год;</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t</w:t>
      </w:r>
      <w:r w:rsidRPr="00E9483E">
        <w:rPr>
          <w:rFonts w:ascii="Arial" w:eastAsia="Times New Roman" w:hAnsi="Arial" w:cs="Arial"/>
          <w:color w:val="000000"/>
          <w:sz w:val="20"/>
          <w:szCs w:val="20"/>
          <w:vertAlign w:val="subscript"/>
          <w:lang w:eastAsia="ru-RU"/>
        </w:rPr>
        <w:t>АП</w:t>
      </w:r>
      <w:r w:rsidRPr="00E9483E">
        <w:rPr>
          <w:rFonts w:ascii="Arial" w:eastAsia="Times New Roman" w:hAnsi="Arial" w:cs="Arial"/>
          <w:color w:val="000000"/>
          <w:sz w:val="20"/>
          <w:szCs w:val="20"/>
          <w:lang w:eastAsia="ru-RU"/>
        </w:rPr>
        <w:t> — годовой темп роста (инфляция) арендной платы;</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t</w:t>
      </w:r>
      <w:r w:rsidRPr="00E9483E">
        <w:rPr>
          <w:rFonts w:ascii="Arial" w:eastAsia="Times New Roman" w:hAnsi="Arial" w:cs="Arial"/>
          <w:color w:val="000000"/>
          <w:sz w:val="20"/>
          <w:szCs w:val="20"/>
          <w:vertAlign w:val="subscript"/>
          <w:lang w:eastAsia="ru-RU"/>
        </w:rPr>
        <w:t>ОР</w:t>
      </w:r>
      <w:r w:rsidRPr="00E9483E">
        <w:rPr>
          <w:rFonts w:ascii="Arial" w:eastAsia="Times New Roman" w:hAnsi="Arial" w:cs="Arial"/>
          <w:color w:val="000000"/>
          <w:sz w:val="20"/>
          <w:szCs w:val="20"/>
          <w:lang w:eastAsia="ru-RU"/>
        </w:rPr>
        <w:t> — годовой темп роста (инфляция) операционных расходов;</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t</w:t>
      </w:r>
      <w:r w:rsidRPr="00E9483E">
        <w:rPr>
          <w:rFonts w:ascii="Arial" w:eastAsia="Times New Roman" w:hAnsi="Arial" w:cs="Arial"/>
          <w:color w:val="000000"/>
          <w:sz w:val="20"/>
          <w:szCs w:val="20"/>
          <w:vertAlign w:val="subscript"/>
          <w:lang w:eastAsia="ru-RU"/>
        </w:rPr>
        <w:t>с</w:t>
      </w:r>
      <w:r w:rsidRPr="00E9483E">
        <w:rPr>
          <w:rFonts w:ascii="Arial" w:eastAsia="Times New Roman" w:hAnsi="Arial" w:cs="Arial"/>
          <w:color w:val="000000"/>
          <w:sz w:val="20"/>
          <w:szCs w:val="20"/>
          <w:lang w:eastAsia="ru-RU"/>
        </w:rPr>
        <w:t> — годовой темп роста (инфляция) стоимости актива;</w:t>
      </w:r>
      <w:r w:rsidRPr="00E9483E">
        <w:rPr>
          <w:rFonts w:ascii="Arial" w:eastAsia="Times New Roman" w:hAnsi="Arial" w:cs="Arial"/>
          <w:color w:val="000000"/>
          <w:sz w:val="20"/>
          <w:szCs w:val="20"/>
          <w:lang w:eastAsia="ru-RU"/>
        </w:rPr>
        <w:br/>
        <w:t>индекс «11» соответствует значению в следующем году.</w:t>
      </w:r>
    </w:p>
    <w:p w14:paraId="5E2CF55D"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При равенстве инфляций арендной платы и операционных расходов они фактически превращаются в инфляцию ЧОД, и зависимость (4) приобретает вид:</w:t>
      </w:r>
    </w:p>
    <w:p w14:paraId="7DCDEB24" w14:textId="24728120"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54F12A52" wp14:editId="16BE7A9C">
            <wp:extent cx="1402080" cy="411480"/>
            <wp:effectExtent l="0" t="0" r="7620" b="7620"/>
            <wp:docPr id="27" name="Рисунок 27"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Фоменко"/>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2080" cy="41148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(5)</w:t>
      </w:r>
    </w:p>
    <w:p w14:paraId="5FC2B5AB"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Отсюда следует, что при равенстве инфляции всех входящих стоимостных параметров показатели инфляции (коэффициенты роста ЧОД и стоимости актива) сокращаются, и приведенная выше зависимость (5) для следующего года, в предположении одинаковых норм возврата капитала, приобретает вид зависимости (3).</w:t>
      </w:r>
    </w:p>
    <w:p w14:paraId="4BC0490C"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 xml:space="preserve">Вместе с тем одинаковая инфляция всех сегментов рынка возможна только на идеализированном рынке. На реальных рынках (как развитых, так и развивающихся стран), темпы роста цен на различных сегментах рынка как в ближней, так и в долгосрочной перспективе изменяются несинхронно. Это приводит к тому, что реальная ставка дохода, определенная как ставка текущей доходности по зависимости (3), изменяется со временем, т. е. является функцией относительной инфляции сегментов рынка и приобретает черты номинальной ставки. Графики зависимостей текущей ставки доходности в следующем году от текущей ставки доходности в текущем году </w:t>
      </w:r>
      <w:r w:rsidRPr="00E9483E">
        <w:rPr>
          <w:rFonts w:ascii="Arial" w:eastAsia="Times New Roman" w:hAnsi="Arial" w:cs="Arial"/>
          <w:color w:val="000000"/>
          <w:sz w:val="20"/>
          <w:szCs w:val="20"/>
          <w:lang w:eastAsia="ru-RU"/>
        </w:rPr>
        <w:lastRenderedPageBreak/>
        <w:t>(зависимость (5)) при разной инфляции стоимости актива (в предположении, что инфляция арендной платы равна инфляции операционных доходов) приведены на рис. 1.</w:t>
      </w:r>
    </w:p>
    <w:p w14:paraId="2ABF28BA" w14:textId="2B82D755" w:rsidR="00E9483E" w:rsidRPr="00E9483E" w:rsidRDefault="00E9483E" w:rsidP="00E9483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42F18194" wp14:editId="38D3AC39">
            <wp:extent cx="3147060" cy="2103120"/>
            <wp:effectExtent l="0" t="0" r="0" b="0"/>
            <wp:docPr id="26" name="Рисунок 26"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Фоменко"/>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7060" cy="2103120"/>
                    </a:xfrm>
                    <a:prstGeom prst="rect">
                      <a:avLst/>
                    </a:prstGeom>
                    <a:noFill/>
                    <a:ln>
                      <a:noFill/>
                    </a:ln>
                  </pic:spPr>
                </pic:pic>
              </a:graphicData>
            </a:graphic>
          </wp:inline>
        </w:drawing>
      </w:r>
    </w:p>
    <w:p w14:paraId="028A3979" w14:textId="77777777" w:rsidR="00E9483E" w:rsidRPr="00E9483E" w:rsidRDefault="00E9483E" w:rsidP="00E9483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Рис. 1. </w:t>
      </w:r>
      <w:r w:rsidRPr="00E9483E">
        <w:rPr>
          <w:rFonts w:ascii="Arial" w:eastAsia="Times New Roman" w:hAnsi="Arial" w:cs="Arial"/>
          <w:color w:val="000000"/>
          <w:sz w:val="20"/>
          <w:szCs w:val="20"/>
          <w:lang w:eastAsia="ru-RU"/>
        </w:rPr>
        <w:t>Зависимость текущей ставки доходности в следующем году от текущей ставки доходности</w:t>
      </w:r>
      <w:r w:rsidRPr="00E9483E">
        <w:rPr>
          <w:rFonts w:ascii="Arial" w:eastAsia="Times New Roman" w:hAnsi="Arial" w:cs="Arial"/>
          <w:color w:val="000000"/>
          <w:sz w:val="20"/>
          <w:szCs w:val="20"/>
          <w:lang w:eastAsia="ru-RU"/>
        </w:rPr>
        <w:br/>
        <w:t>в текущем году при </w:t>
      </w:r>
      <w:r w:rsidRPr="00E9483E">
        <w:rPr>
          <w:rFonts w:ascii="Arial" w:eastAsia="Times New Roman" w:hAnsi="Arial" w:cs="Arial"/>
          <w:i/>
          <w:iCs/>
          <w:color w:val="000000"/>
          <w:sz w:val="20"/>
          <w:szCs w:val="20"/>
          <w:lang w:eastAsia="ru-RU"/>
        </w:rPr>
        <w:t>t</w:t>
      </w:r>
      <w:r w:rsidRPr="00E9483E">
        <w:rPr>
          <w:rFonts w:ascii="Arial" w:eastAsia="Times New Roman" w:hAnsi="Arial" w:cs="Arial"/>
          <w:color w:val="000000"/>
          <w:sz w:val="20"/>
          <w:szCs w:val="20"/>
          <w:vertAlign w:val="subscript"/>
          <w:lang w:eastAsia="ru-RU"/>
        </w:rPr>
        <w:t>ч</w:t>
      </w:r>
      <w:r w:rsidRPr="00E9483E">
        <w:rPr>
          <w:rFonts w:ascii="Arial" w:eastAsia="Times New Roman" w:hAnsi="Arial" w:cs="Arial"/>
          <w:color w:val="000000"/>
          <w:sz w:val="20"/>
          <w:szCs w:val="20"/>
          <w:lang w:eastAsia="ru-RU"/>
        </w:rPr>
        <w:t> = 10 %, срок жизни актива 20 лет, норма возврата капитала определена по методу Инвуда</w:t>
      </w:r>
    </w:p>
    <w:p w14:paraId="0BCB7887"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Для устранения временной зависимости реальной ставки доходности (устранения ее зависимости от инфляции сегментов рынка) инфляцию можно рассматривать либо как осредненное значение на фиксированный прогнозный период, полученное с учетом ее прогноза по сегментам рынка на этот период, либо в квазистатическом приближении (в предположении, что инфляции (темпы роста) ЧОД и стоимости актива одинаковы), как текущую ставку доходности.</w:t>
      </w:r>
    </w:p>
    <w:p w14:paraId="17DB94E9"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 дальнейшем ограничимся рассмотрением реальной ставки доходности только в квазистатическом приближении.</w:t>
      </w:r>
    </w:p>
    <w:p w14:paraId="5DEC6C26"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Следует отметить, что реальную ставку доходности можно получить также методом рыночной экстракции на основе уравнения для метода дисконтированных денежных потоков (ДДП) в виде:</w:t>
      </w:r>
    </w:p>
    <w:p w14:paraId="51FDE3A1" w14:textId="62A9B37A"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4604D2EC" wp14:editId="3A90DE37">
            <wp:extent cx="2827020" cy="426720"/>
            <wp:effectExtent l="0" t="0" r="0" b="0"/>
            <wp:docPr id="25" name="Рисунок 25"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Фоменко"/>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7020" cy="42672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(6)</w:t>
      </w:r>
    </w:p>
    <w:p w14:paraId="1412765A"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где</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С</w:t>
      </w:r>
      <w:r w:rsidRPr="00E9483E">
        <w:rPr>
          <w:rFonts w:ascii="Arial" w:eastAsia="Times New Roman" w:hAnsi="Arial" w:cs="Arial"/>
          <w:color w:val="000000"/>
          <w:sz w:val="20"/>
          <w:szCs w:val="20"/>
          <w:vertAlign w:val="subscript"/>
          <w:lang w:eastAsia="ru-RU"/>
        </w:rPr>
        <w:t>рев</w:t>
      </w:r>
      <w:r w:rsidRPr="00E9483E">
        <w:rPr>
          <w:rFonts w:ascii="Arial" w:eastAsia="Times New Roman" w:hAnsi="Arial" w:cs="Arial"/>
          <w:color w:val="000000"/>
          <w:sz w:val="20"/>
          <w:szCs w:val="20"/>
          <w:lang w:eastAsia="ru-RU"/>
        </w:rPr>
        <w:t> — стоимость реверсии (в реальном исчислении);</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n</w:t>
      </w:r>
      <w:r w:rsidRPr="00E9483E">
        <w:rPr>
          <w:rFonts w:ascii="Arial" w:eastAsia="Times New Roman" w:hAnsi="Arial" w:cs="Arial"/>
          <w:color w:val="000000"/>
          <w:sz w:val="20"/>
          <w:szCs w:val="20"/>
          <w:lang w:eastAsia="ru-RU"/>
        </w:rPr>
        <w:t> — продолжительность прогнозного периода.</w:t>
      </w:r>
      <w:r w:rsidRPr="00E9483E">
        <w:rPr>
          <w:rFonts w:ascii="Arial" w:eastAsia="Times New Roman" w:hAnsi="Arial" w:cs="Arial"/>
          <w:color w:val="000000"/>
          <w:sz w:val="20"/>
          <w:szCs w:val="20"/>
          <w:lang w:eastAsia="ru-RU"/>
        </w:rPr>
        <w:br/>
        <w:t>Представленное уравнение можно решить численным методом относительно </w:t>
      </w: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р</w:t>
      </w:r>
      <w:r w:rsidRPr="00E9483E">
        <w:rPr>
          <w:rFonts w:ascii="Arial" w:eastAsia="Times New Roman" w:hAnsi="Arial" w:cs="Arial"/>
          <w:color w:val="000000"/>
          <w:sz w:val="20"/>
          <w:szCs w:val="20"/>
          <w:lang w:eastAsia="ru-RU"/>
        </w:rPr>
        <w:t> (например, используя функцию подбора параметра в Excel).</w:t>
      </w:r>
    </w:p>
    <w:p w14:paraId="23530C86" w14:textId="4D240A38"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Вместе с тем, реальная ставка доходности полученная на основе уравнения ДДП совпадет с реальной ставкой доходности, определенной на основе уравнения ПК, только в случае, если в методе ПК используется возврат капитала по методу Инвуда, а </w:t>
      </w:r>
      <w:r w:rsidRPr="00E9483E">
        <w:rPr>
          <w:rFonts w:ascii="Arial" w:eastAsia="Times New Roman" w:hAnsi="Arial" w:cs="Arial"/>
          <w:noProof/>
          <w:color w:val="000000"/>
          <w:sz w:val="20"/>
          <w:szCs w:val="20"/>
          <w:lang w:eastAsia="ru-RU"/>
        </w:rPr>
        <w:drawing>
          <wp:inline distT="0" distB="0" distL="0" distR="0" wp14:anchorId="421C7E80" wp14:editId="4A0C18E6">
            <wp:extent cx="800100" cy="419100"/>
            <wp:effectExtent l="0" t="0" r="0" b="0"/>
            <wp:docPr id="24" name="Рисунок 24"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оменко"/>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0100" cy="41910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в методе ДДП определяется с учетом возврата капитала также по методу Инвуда (для изнашиваемых активов с оставшимся сроком экономической жизни m величина </w:t>
      </w:r>
      <w:r w:rsidRPr="00E9483E">
        <w:rPr>
          <w:rFonts w:ascii="Arial" w:eastAsia="Times New Roman" w:hAnsi="Arial" w:cs="Arial"/>
          <w:noProof/>
          <w:color w:val="000000"/>
          <w:sz w:val="20"/>
          <w:szCs w:val="20"/>
          <w:lang w:eastAsia="ru-RU"/>
        </w:rPr>
        <w:drawing>
          <wp:inline distT="0" distB="0" distL="0" distR="0" wp14:anchorId="5A2DDB60" wp14:editId="13CD5434">
            <wp:extent cx="960120" cy="426720"/>
            <wp:effectExtent l="0" t="0" r="0" b="0"/>
            <wp:docPr id="23" name="Рисунок 23"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Фоменко"/>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60120" cy="42672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 или для неизнашивамых активов (как частный случай) при </w:t>
      </w:r>
      <w:r w:rsidRPr="00E9483E">
        <w:rPr>
          <w:rFonts w:ascii="Arial" w:eastAsia="Times New Roman" w:hAnsi="Arial" w:cs="Arial"/>
          <w:noProof/>
          <w:color w:val="000000"/>
          <w:sz w:val="20"/>
          <w:szCs w:val="20"/>
          <w:lang w:eastAsia="ru-RU"/>
        </w:rPr>
        <w:drawing>
          <wp:inline distT="0" distB="0" distL="0" distR="0" wp14:anchorId="2C45DAC7" wp14:editId="778AB937">
            <wp:extent cx="381000" cy="228600"/>
            <wp:effectExtent l="0" t="0" r="0" b="0"/>
            <wp:docPr id="22" name="Рисунок 22"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Фоменко"/>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w:t>
      </w:r>
    </w:p>
    <w:p w14:paraId="44144280"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lastRenderedPageBreak/>
        <w:t>Метод Инвуда — экономически наиболее эффективный метод возврата капитала, поскольку требует минимальных отчислений. Несмотря на то, что на практике его не всегда удается реализовать, при определении реальной ставки доходности, по-видимому, целесообразно рассматривать именно этот метод возврата капитала исходя из предположения о наиболее эффективном использовании средств.</w:t>
      </w:r>
    </w:p>
    <w:p w14:paraId="58480FD3"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 оценочной практике достаточно часто используется уравнение ДДП со сдвигом на полпериода. Уравнение имеет вид</w:t>
      </w:r>
    </w:p>
    <w:p w14:paraId="5F93FDFF" w14:textId="2EB4DE9D"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 </w:t>
      </w:r>
      <w:r w:rsidRPr="00E9483E">
        <w:rPr>
          <w:rFonts w:ascii="Arial" w:eastAsia="Times New Roman" w:hAnsi="Arial" w:cs="Arial"/>
          <w:noProof/>
          <w:color w:val="000000"/>
          <w:sz w:val="20"/>
          <w:szCs w:val="20"/>
          <w:lang w:eastAsia="ru-RU"/>
        </w:rPr>
        <w:drawing>
          <wp:inline distT="0" distB="0" distL="0" distR="0" wp14:anchorId="0EE6C329" wp14:editId="7F4FAD36">
            <wp:extent cx="3238500" cy="426720"/>
            <wp:effectExtent l="0" t="0" r="0" b="0"/>
            <wp:docPr id="21" name="Рисунок 21"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Фоменко"/>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8500" cy="426720"/>
                    </a:xfrm>
                    <a:prstGeom prst="rect">
                      <a:avLst/>
                    </a:prstGeom>
                    <a:noFill/>
                    <a:ln>
                      <a:noFill/>
                    </a:ln>
                  </pic:spPr>
                </pic:pic>
              </a:graphicData>
            </a:graphic>
          </wp:inline>
        </w:drawing>
      </w:r>
    </w:p>
    <w:p w14:paraId="4B841280"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Такой подход приводит к меньшим погрешностям расчета в условиях, когда годовой доход складывается из нескольких периодических платежей [5]. Поэтому в случае нескольких периодических платежей в течение года целесообразно использовать для рыночной экстракции метод ДДП со сдвигом на полпериода, либо для адекватного использования метода ПК в этом случае необходимо применять скорректированную величину ЧОД</w:t>
      </w:r>
      <w:r w:rsidRPr="00E9483E">
        <w:rPr>
          <w:rFonts w:ascii="Arial" w:eastAsia="Times New Roman" w:hAnsi="Arial" w:cs="Arial"/>
          <w:color w:val="000000"/>
          <w:sz w:val="20"/>
          <w:szCs w:val="20"/>
          <w:vertAlign w:val="subscript"/>
          <w:lang w:eastAsia="ru-RU"/>
        </w:rPr>
        <w:t>эф</w:t>
      </w:r>
      <w:r w:rsidRPr="00E9483E">
        <w:rPr>
          <w:rFonts w:ascii="Arial" w:eastAsia="Times New Roman" w:hAnsi="Arial" w:cs="Arial"/>
          <w:color w:val="000000"/>
          <w:sz w:val="20"/>
          <w:szCs w:val="20"/>
          <w:lang w:eastAsia="ru-RU"/>
        </w:rPr>
        <w:t>, которая равна</w:t>
      </w:r>
    </w:p>
    <w:p w14:paraId="24C6A3CD" w14:textId="7B1F9932"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 </w:t>
      </w:r>
      <w:r w:rsidRPr="00E9483E">
        <w:rPr>
          <w:rFonts w:ascii="Arial" w:eastAsia="Times New Roman" w:hAnsi="Arial" w:cs="Arial"/>
          <w:noProof/>
          <w:color w:val="000000"/>
          <w:sz w:val="20"/>
          <w:szCs w:val="20"/>
          <w:lang w:eastAsia="ru-RU"/>
        </w:rPr>
        <w:drawing>
          <wp:inline distT="0" distB="0" distL="0" distR="0" wp14:anchorId="45D9BE95" wp14:editId="4248BA4B">
            <wp:extent cx="1592580" cy="236220"/>
            <wp:effectExtent l="0" t="0" r="7620" b="0"/>
            <wp:docPr id="20" name="Рисунок 20"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Фоменко"/>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2580" cy="236220"/>
                    </a:xfrm>
                    <a:prstGeom prst="rect">
                      <a:avLst/>
                    </a:prstGeom>
                    <a:noFill/>
                    <a:ln>
                      <a:noFill/>
                    </a:ln>
                  </pic:spPr>
                </pic:pic>
              </a:graphicData>
            </a:graphic>
          </wp:inline>
        </w:drawing>
      </w:r>
    </w:p>
    <w:p w14:paraId="7386A724"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Значение корректировки можно найти из следующего соотношения:</w:t>
      </w:r>
    </w:p>
    <w:p w14:paraId="0FC70EB6" w14:textId="3F0E0350"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4D7126EE" wp14:editId="3C37ADA9">
            <wp:extent cx="2362200" cy="457200"/>
            <wp:effectExtent l="0" t="0" r="0" b="0"/>
            <wp:docPr id="19" name="Рисунок 19"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Фоменко"/>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2200" cy="457200"/>
                    </a:xfrm>
                    <a:prstGeom prst="rect">
                      <a:avLst/>
                    </a:prstGeom>
                    <a:noFill/>
                    <a:ln>
                      <a:noFill/>
                    </a:ln>
                  </pic:spPr>
                </pic:pic>
              </a:graphicData>
            </a:graphic>
          </wp:inline>
        </w:drawing>
      </w:r>
    </w:p>
    <w:p w14:paraId="628C0EB1"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Таким образом, для определения реальной ставки доходности методом рыночной экстракции могут использоваться как метод ПК, так и метод ДДП, основанные на возврате капитала по методу Инвуда.</w:t>
      </w:r>
    </w:p>
    <w:p w14:paraId="321C8D72" w14:textId="77777777" w:rsidR="00E9483E" w:rsidRPr="00E9483E" w:rsidRDefault="00E9483E" w:rsidP="00E9483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Определение номинальных ставок доходности</w:t>
      </w:r>
    </w:p>
    <w:p w14:paraId="0C6B0C88"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Взаимосвязь между реальной и номинальной ставками доходности можно получить из соотношения:</w:t>
      </w:r>
    </w:p>
    <w:p w14:paraId="01CC8724" w14:textId="3BBCF53D"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08EF5946" wp14:editId="0A8C198D">
            <wp:extent cx="2286000" cy="419100"/>
            <wp:effectExtent l="0" t="0" r="0" b="0"/>
            <wp:docPr id="18" name="Рисунок 18"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Фоменко"/>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419100"/>
                    </a:xfrm>
                    <a:prstGeom prst="rect">
                      <a:avLst/>
                    </a:prstGeom>
                    <a:noFill/>
                    <a:ln>
                      <a:noFill/>
                    </a:ln>
                  </pic:spPr>
                </pic:pic>
              </a:graphicData>
            </a:graphic>
          </wp:inline>
        </w:drawing>
      </w:r>
    </w:p>
    <w:p w14:paraId="1E69195E"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где индекс «н» относится к номинальным значениям.</w:t>
      </w:r>
    </w:p>
    <w:p w14:paraId="40FEE1D9"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Отсюда</w:t>
      </w:r>
    </w:p>
    <w:p w14:paraId="0D2B233E" w14:textId="4B2FA154"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6140799E" wp14:editId="63E10953">
            <wp:extent cx="1905000" cy="228600"/>
            <wp:effectExtent l="0" t="0" r="0" b="0"/>
            <wp:docPr id="17" name="Рисунок 17"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Фоменко"/>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22860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(7)</w:t>
      </w:r>
    </w:p>
    <w:p w14:paraId="4AF3BA18" w14:textId="6F95F9F6"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Если в обоих случаях возврат капитала осуществлять по реальной ставке, что представляется оправданным, поскольку к концу срока жизни актива необходимо накопить сумму для его воспроизводства в реальном измерении, то при </w:t>
      </w:r>
      <w:r w:rsidRPr="00E9483E">
        <w:rPr>
          <w:rFonts w:ascii="Arial" w:eastAsia="Times New Roman" w:hAnsi="Arial" w:cs="Arial"/>
          <w:noProof/>
          <w:color w:val="000000"/>
          <w:sz w:val="20"/>
          <w:szCs w:val="20"/>
          <w:lang w:eastAsia="ru-RU"/>
        </w:rPr>
        <w:drawing>
          <wp:inline distT="0" distB="0" distL="0" distR="0" wp14:anchorId="01867C2B" wp14:editId="298F0A97">
            <wp:extent cx="449580" cy="228600"/>
            <wp:effectExtent l="0" t="0" r="7620" b="0"/>
            <wp:docPr id="16" name="Рисунок 16"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Фоменко"/>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580" cy="22860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получаем:</w:t>
      </w:r>
    </w:p>
    <w:p w14:paraId="033709E2" w14:textId="58824E22"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1F5621F7" wp14:editId="64C4446F">
            <wp:extent cx="1379220" cy="228600"/>
            <wp:effectExtent l="0" t="0" r="0" b="0"/>
            <wp:docPr id="15" name="Рисунок 15"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Фоменко"/>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79220" cy="22860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(8)</w:t>
      </w:r>
    </w:p>
    <w:p w14:paraId="7182CA70"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lastRenderedPageBreak/>
        <w:t>Результаты расчета соотношения между реальными и номинальными ставками доходности приведены на рис. 2.</w:t>
      </w:r>
    </w:p>
    <w:p w14:paraId="419D1264" w14:textId="150ACF41" w:rsidR="00E9483E" w:rsidRPr="00E9483E" w:rsidRDefault="00E9483E" w:rsidP="00E9483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 </w:t>
      </w:r>
      <w:r w:rsidRPr="00E9483E">
        <w:rPr>
          <w:rFonts w:ascii="Arial" w:eastAsia="Times New Roman" w:hAnsi="Arial" w:cs="Arial"/>
          <w:noProof/>
          <w:color w:val="000000"/>
          <w:sz w:val="20"/>
          <w:szCs w:val="20"/>
          <w:lang w:eastAsia="ru-RU"/>
        </w:rPr>
        <w:drawing>
          <wp:inline distT="0" distB="0" distL="0" distR="0" wp14:anchorId="4661B7E1" wp14:editId="6CFBDAEE">
            <wp:extent cx="3802380" cy="2339340"/>
            <wp:effectExtent l="0" t="0" r="7620" b="3810"/>
            <wp:docPr id="14" name="Рисунок 14"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Фоменко"/>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02380" cy="2339340"/>
                    </a:xfrm>
                    <a:prstGeom prst="rect">
                      <a:avLst/>
                    </a:prstGeom>
                    <a:noFill/>
                    <a:ln>
                      <a:noFill/>
                    </a:ln>
                  </pic:spPr>
                </pic:pic>
              </a:graphicData>
            </a:graphic>
          </wp:inline>
        </w:drawing>
      </w:r>
    </w:p>
    <w:p w14:paraId="41D75FDE" w14:textId="77777777" w:rsidR="00E9483E" w:rsidRPr="00E9483E" w:rsidRDefault="00E9483E" w:rsidP="00E9483E">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Рис. 2.</w:t>
      </w:r>
      <w:r w:rsidRPr="00E9483E">
        <w:rPr>
          <w:rFonts w:ascii="Arial" w:eastAsia="Times New Roman" w:hAnsi="Arial" w:cs="Arial"/>
          <w:color w:val="000000"/>
          <w:sz w:val="20"/>
          <w:szCs w:val="20"/>
          <w:lang w:eastAsia="ru-RU"/>
        </w:rPr>
        <w:t> Зависимость номинальных ставок доходности от реальных ставок для различных уровней инфляции ЧОД при сроке</w:t>
      </w:r>
      <w:r w:rsidRPr="00E9483E">
        <w:rPr>
          <w:rFonts w:ascii="Arial" w:eastAsia="Times New Roman" w:hAnsi="Arial" w:cs="Arial"/>
          <w:color w:val="000000"/>
          <w:sz w:val="20"/>
          <w:szCs w:val="20"/>
          <w:lang w:eastAsia="ru-RU"/>
        </w:rPr>
        <w:br/>
        <w:t>жизни актива 20 лет, норма возврата капитала рассчитана по методу Инвуда (в реальном исчислении)</w:t>
      </w:r>
    </w:p>
    <w:p w14:paraId="7E85A3CF"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Следует отметить, что при выводе зависимостей (7) и (8) по умолчанию принято допущение о том, что темп роста ЧОД (инфляция) является постоянной величиной в течение всего срока жизни актива. Строго говоря, это не соответствует действительности, по крайней мере, для текущего экономического состояния России. Поэтому более корректно в качестве расчетной инфляции принимать среднее интегральное значение прогнозной инфляции за период жизни актива.</w:t>
      </w:r>
    </w:p>
    <w:p w14:paraId="67EA2612"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Кроме того, полученные зависимости выведены без учета дохода от роста стоимости (инфляции) актива. Особенности расчета вклада темпов роста стоимости актива в номинальную ставку доходности достаточно подробно рассмотрены в [4].</w:t>
      </w:r>
    </w:p>
    <w:p w14:paraId="1CC373B5"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Следует отметить, что на реальном рынке для активов с разным сроком оставшейся экономической жизни (например, для сходных объектов недвижимости разного возраста) уровень инфляции практически одинаков (при условии, что оставшийся срок жизни достаточно велик). В то же время требуемая норма возврата капитала для таких активов должна отличаться из-за различий в сроках жизни. Поэтому при расчетах с использованием метода рыночной экстракции целесообразно учитывать по отдельности инфляцию (темпы роста) и норму возврата капитала как элемент амортизации. В этом случае можно записать следующее соотношение:</w:t>
      </w:r>
    </w:p>
    <w:p w14:paraId="113AA133" w14:textId="2AA112C1"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2DD80C17" wp14:editId="71D59AD0">
            <wp:extent cx="2095500" cy="419100"/>
            <wp:effectExtent l="0" t="0" r="0" b="0"/>
            <wp:docPr id="13" name="Рисунок 13"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оменко"/>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0" cy="419100"/>
                    </a:xfrm>
                    <a:prstGeom prst="rect">
                      <a:avLst/>
                    </a:prstGeom>
                    <a:noFill/>
                    <a:ln>
                      <a:noFill/>
                    </a:ln>
                  </pic:spPr>
                </pic:pic>
              </a:graphicData>
            </a:graphic>
          </wp:inline>
        </w:drawing>
      </w:r>
    </w:p>
    <w:p w14:paraId="1146EF15"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где</w:t>
      </w:r>
    </w:p>
    <w:p w14:paraId="694EAC07" w14:textId="20424EC5"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 </w:t>
      </w:r>
      <w:r w:rsidRPr="00E9483E">
        <w:rPr>
          <w:rFonts w:ascii="Arial" w:eastAsia="Times New Roman" w:hAnsi="Arial" w:cs="Arial"/>
          <w:noProof/>
          <w:color w:val="000000"/>
          <w:sz w:val="20"/>
          <w:szCs w:val="20"/>
          <w:lang w:eastAsia="ru-RU"/>
        </w:rPr>
        <w:drawing>
          <wp:inline distT="0" distB="0" distL="0" distR="0" wp14:anchorId="5454AC51" wp14:editId="04CF5025">
            <wp:extent cx="2293620" cy="198120"/>
            <wp:effectExtent l="0" t="0" r="0" b="0"/>
            <wp:docPr id="12" name="Рисунок 12"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Фоменко"/>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93620" cy="19812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годовое изменение стоимости (абсолютная инфляция) актива; </w:t>
      </w:r>
      <w:r w:rsidRPr="00E9483E">
        <w:rPr>
          <w:rFonts w:ascii="Arial" w:eastAsia="Times New Roman" w:hAnsi="Arial" w:cs="Arial"/>
          <w:i/>
          <w:iCs/>
          <w:color w:val="000000"/>
          <w:sz w:val="20"/>
          <w:szCs w:val="20"/>
          <w:lang w:eastAsia="ru-RU"/>
        </w:rPr>
        <w:t>t</w:t>
      </w:r>
      <w:r w:rsidRPr="00E9483E">
        <w:rPr>
          <w:rFonts w:ascii="Arial" w:eastAsia="Times New Roman" w:hAnsi="Arial" w:cs="Arial"/>
          <w:color w:val="000000"/>
          <w:sz w:val="20"/>
          <w:szCs w:val="20"/>
          <w:vertAlign w:val="subscript"/>
          <w:lang w:eastAsia="ru-RU"/>
        </w:rPr>
        <w:t>с</w:t>
      </w:r>
      <w:r w:rsidRPr="00E9483E">
        <w:rPr>
          <w:rFonts w:ascii="Arial" w:eastAsia="Times New Roman" w:hAnsi="Arial" w:cs="Arial"/>
          <w:color w:val="000000"/>
          <w:sz w:val="20"/>
          <w:szCs w:val="20"/>
          <w:lang w:eastAsia="ru-RU"/>
        </w:rPr>
        <w:t> - годовой темп роста стоимости (относительная инфляция) актива.</w:t>
      </w:r>
    </w:p>
    <w:p w14:paraId="0A2A799D"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Отсюда</w:t>
      </w:r>
    </w:p>
    <w:p w14:paraId="1A88332F" w14:textId="2C2FB726"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lastRenderedPageBreak/>
        <w:drawing>
          <wp:inline distT="0" distB="0" distL="0" distR="0" wp14:anchorId="4F6370B9" wp14:editId="14FF9625">
            <wp:extent cx="2164080" cy="228600"/>
            <wp:effectExtent l="0" t="0" r="7620" b="0"/>
            <wp:docPr id="11" name="Рисунок 11"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Фоменко"/>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4080" cy="22860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(9)</w:t>
      </w:r>
    </w:p>
    <w:p w14:paraId="76205FEC" w14:textId="70C32FD1"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или при </w:t>
      </w:r>
      <w:r w:rsidRPr="00E9483E">
        <w:rPr>
          <w:rFonts w:ascii="Arial" w:eastAsia="Times New Roman" w:hAnsi="Arial" w:cs="Arial"/>
          <w:noProof/>
          <w:color w:val="000000"/>
          <w:sz w:val="20"/>
          <w:szCs w:val="20"/>
          <w:lang w:eastAsia="ru-RU"/>
        </w:rPr>
        <w:drawing>
          <wp:inline distT="0" distB="0" distL="0" distR="0" wp14:anchorId="34E8461E" wp14:editId="0550330D">
            <wp:extent cx="449580" cy="228600"/>
            <wp:effectExtent l="0" t="0" r="7620" b="0"/>
            <wp:docPr id="10" name="Рисунок 10"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Фоменко"/>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9580" cy="22860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w:t>
      </w:r>
    </w:p>
    <w:p w14:paraId="530CD65F" w14:textId="4E032A09"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4DD6CFBA" wp14:editId="7BA041A4">
            <wp:extent cx="1592580" cy="228600"/>
            <wp:effectExtent l="0" t="0" r="7620" b="0"/>
            <wp:docPr id="9" name="Рисунок 9"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Фоменко"/>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92580" cy="22860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(10)</w:t>
      </w:r>
    </w:p>
    <w:p w14:paraId="2E88DB3F"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Следует отметить, что для неизнашиваемых активов (</w:t>
      </w:r>
      <w:r w:rsidRPr="00E9483E">
        <w:rPr>
          <w:rFonts w:ascii="Arial" w:eastAsia="Times New Roman" w:hAnsi="Arial" w:cs="Arial"/>
          <w:i/>
          <w:iCs/>
          <w:color w:val="000000"/>
          <w:sz w:val="20"/>
          <w:szCs w:val="20"/>
          <w:lang w:eastAsia="ru-RU"/>
        </w:rPr>
        <w:t>f</w:t>
      </w:r>
      <w:r w:rsidRPr="00E9483E">
        <w:rPr>
          <w:rFonts w:ascii="Arial" w:eastAsia="Times New Roman" w:hAnsi="Arial" w:cs="Arial"/>
          <w:color w:val="000000"/>
          <w:sz w:val="20"/>
          <w:szCs w:val="20"/>
          <w:vertAlign w:val="subscript"/>
          <w:lang w:eastAsia="ru-RU"/>
        </w:rPr>
        <w:t>р</w:t>
      </w:r>
      <w:r w:rsidRPr="00E9483E">
        <w:rPr>
          <w:rFonts w:ascii="Arial" w:eastAsia="Times New Roman" w:hAnsi="Arial" w:cs="Arial"/>
          <w:i/>
          <w:iCs/>
          <w:color w:val="000000"/>
          <w:sz w:val="20"/>
          <w:szCs w:val="20"/>
          <w:lang w:eastAsia="ru-RU"/>
        </w:rPr>
        <w:t> = f</w:t>
      </w:r>
      <w:r w:rsidRPr="00E9483E">
        <w:rPr>
          <w:rFonts w:ascii="Arial" w:eastAsia="Times New Roman" w:hAnsi="Arial" w:cs="Arial"/>
          <w:color w:val="000000"/>
          <w:sz w:val="20"/>
          <w:szCs w:val="20"/>
          <w:vertAlign w:val="subscript"/>
          <w:lang w:eastAsia="ru-RU"/>
        </w:rPr>
        <w:t>н</w:t>
      </w:r>
      <w:r w:rsidRPr="00E9483E">
        <w:rPr>
          <w:rFonts w:ascii="Arial" w:eastAsia="Times New Roman" w:hAnsi="Arial" w:cs="Arial"/>
          <w:color w:val="000000"/>
          <w:sz w:val="20"/>
          <w:szCs w:val="20"/>
          <w:lang w:eastAsia="ru-RU"/>
        </w:rPr>
        <w:t> = 0) и в случае равенства инфляций актива и ЧОД (</w:t>
      </w:r>
      <w:r w:rsidRPr="00E9483E">
        <w:rPr>
          <w:rFonts w:ascii="Arial" w:eastAsia="Times New Roman" w:hAnsi="Arial" w:cs="Arial"/>
          <w:i/>
          <w:iCs/>
          <w:color w:val="000000"/>
          <w:sz w:val="20"/>
          <w:szCs w:val="20"/>
          <w:lang w:eastAsia="ru-RU"/>
        </w:rPr>
        <w:t>t</w:t>
      </w:r>
      <w:r w:rsidRPr="00E9483E">
        <w:rPr>
          <w:rFonts w:ascii="Arial" w:eastAsia="Times New Roman" w:hAnsi="Arial" w:cs="Arial"/>
          <w:color w:val="000000"/>
          <w:sz w:val="20"/>
          <w:szCs w:val="20"/>
          <w:vertAlign w:val="subscript"/>
          <w:lang w:eastAsia="ru-RU"/>
        </w:rPr>
        <w:t>с</w:t>
      </w:r>
      <w:r w:rsidRPr="00E9483E">
        <w:rPr>
          <w:rFonts w:ascii="Arial" w:eastAsia="Times New Roman" w:hAnsi="Arial" w:cs="Arial"/>
          <w:i/>
          <w:iCs/>
          <w:color w:val="000000"/>
          <w:sz w:val="20"/>
          <w:szCs w:val="20"/>
          <w:lang w:eastAsia="ru-RU"/>
        </w:rPr>
        <w:t> = t</w:t>
      </w:r>
      <w:r w:rsidRPr="00E9483E">
        <w:rPr>
          <w:rFonts w:ascii="Arial" w:eastAsia="Times New Roman" w:hAnsi="Arial" w:cs="Arial"/>
          <w:color w:val="000000"/>
          <w:sz w:val="20"/>
          <w:szCs w:val="20"/>
          <w:vertAlign w:val="subscript"/>
          <w:lang w:eastAsia="ru-RU"/>
        </w:rPr>
        <w:t>ч</w:t>
      </w:r>
      <w:r w:rsidRPr="00E9483E">
        <w:rPr>
          <w:rFonts w:ascii="Arial" w:eastAsia="Times New Roman" w:hAnsi="Arial" w:cs="Arial"/>
          <w:color w:val="000000"/>
          <w:sz w:val="20"/>
          <w:szCs w:val="20"/>
          <w:lang w:eastAsia="ru-RU"/>
        </w:rPr>
        <w:t>) зависимости (9) и (10) превращаются в известную формулу Фишера:</w:t>
      </w:r>
    </w:p>
    <w:p w14:paraId="534FC678" w14:textId="5F2714F6"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44EC02D0" wp14:editId="700DDEBE">
            <wp:extent cx="1097280" cy="228600"/>
            <wp:effectExtent l="0" t="0" r="7620" b="0"/>
            <wp:docPr id="8" name="Рисунок 8"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Фоменко"/>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97280" cy="228600"/>
                    </a:xfrm>
                    <a:prstGeom prst="rect">
                      <a:avLst/>
                    </a:prstGeom>
                    <a:noFill/>
                    <a:ln>
                      <a:noFill/>
                    </a:ln>
                  </pic:spPr>
                </pic:pic>
              </a:graphicData>
            </a:graphic>
          </wp:inline>
        </w:drawing>
      </w:r>
    </w:p>
    <w:p w14:paraId="367DC77B"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 общем случае метод рыночной экстракции для определения номинальных ставок доходности можно применять и на основе метода ДДП. Однако здесь задача становится многовариантной и номинальная ставка, определенная методом ПК, не совпадает со ставкой, определенной методом ДДП.</w:t>
      </w:r>
    </w:p>
    <w:p w14:paraId="125A8404"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 отдельных случаях можно попытаться обеспечить одинаковость номинальных ставок доходности для методов ДДП и ПК, путем подбора соответствующей зависимости для расчета коэффициента капитализации (нормы возврата капитала), как показано в [6]. Однако, по-видимому, предлагаемый метод подбора — скорее искусственный математический прием, нежели экономически обоснованное поведение инвестора.</w:t>
      </w:r>
    </w:p>
    <w:p w14:paraId="3587481F"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Дело в том, что методы ПК и ДДП отражают принципиально разные модели поведения инвесторов, а следовательно, могут давать разные результаты.</w:t>
      </w:r>
    </w:p>
    <w:p w14:paraId="21E6AFB8" w14:textId="0F668D0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Действительно, зависимость </w:t>
      </w:r>
      <w:r w:rsidRPr="00E9483E">
        <w:rPr>
          <w:rFonts w:ascii="Arial" w:eastAsia="Times New Roman" w:hAnsi="Arial" w:cs="Arial"/>
          <w:noProof/>
          <w:color w:val="000000"/>
          <w:sz w:val="20"/>
          <w:szCs w:val="20"/>
          <w:lang w:eastAsia="ru-RU"/>
        </w:rPr>
        <w:drawing>
          <wp:inline distT="0" distB="0" distL="0" distR="0" wp14:anchorId="2D34C326" wp14:editId="1C0F3B67">
            <wp:extent cx="693420" cy="411480"/>
            <wp:effectExtent l="0" t="0" r="0" b="7620"/>
            <wp:docPr id="7" name="Рисунок 7"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Фоменко"/>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93420" cy="41148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можно преобразовать к следующему виду:</w:t>
      </w:r>
    </w:p>
    <w:p w14:paraId="29EFF33F" w14:textId="2D257686"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5C2F5D9F" wp14:editId="3F04906D">
            <wp:extent cx="1181100" cy="373380"/>
            <wp:effectExtent l="0" t="0" r="0" b="7620"/>
            <wp:docPr id="6" name="Рисунок 6"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Фоменко"/>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81100" cy="37338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или </w:t>
      </w:r>
      <w:r w:rsidRPr="00E9483E">
        <w:rPr>
          <w:rFonts w:ascii="Arial" w:eastAsia="Times New Roman" w:hAnsi="Arial" w:cs="Arial"/>
          <w:noProof/>
          <w:color w:val="000000"/>
          <w:sz w:val="20"/>
          <w:szCs w:val="20"/>
          <w:lang w:eastAsia="ru-RU"/>
        </w:rPr>
        <w:drawing>
          <wp:inline distT="0" distB="0" distL="0" distR="0" wp14:anchorId="20278E48" wp14:editId="63561D46">
            <wp:extent cx="1150620" cy="411480"/>
            <wp:effectExtent l="0" t="0" r="0" b="7620"/>
            <wp:docPr id="5" name="Рисунок 5"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Фоменко"/>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50620" cy="411480"/>
                    </a:xfrm>
                    <a:prstGeom prst="rect">
                      <a:avLst/>
                    </a:prstGeom>
                    <a:noFill/>
                    <a:ln>
                      <a:noFill/>
                    </a:ln>
                  </pic:spPr>
                </pic:pic>
              </a:graphicData>
            </a:graphic>
          </wp:inline>
        </w:drawing>
      </w:r>
    </w:p>
    <w:p w14:paraId="755383B6"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Таким образом, мы получили классическую формулу расчета отдачи на вложенный капитал. Например, для случая кредитования — отношение годовых выплат процентов по кредиту к величине кредита.</w:t>
      </w:r>
    </w:p>
    <w:p w14:paraId="1FF0D66E"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Поскольку норма возврата капитала рассчитывается с учетом срока оставшейся экономической жизни актива, то из этого следует, что метод ПК построен на модели, которая предполагает, что инвестор после вложения капитала в актив будет владеть им до конца срока его экономической жизни.</w:t>
      </w:r>
    </w:p>
    <w:p w14:paraId="755EF06E"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ДДП (зависимость (6)) предполагает другую модель поведения инвестора при вложении капитала в актив, а именно: получение дохода в течение ограниченного периода времени (прогнозного периода, который меньше срока экономической жизни актива) и продажу актива по стоимости, которая сложится на конец периода получения доходов.</w:t>
      </w:r>
    </w:p>
    <w:p w14:paraId="563AAE2F"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Многовариантность результатов рыночной экстракции при использовании метода ДДП обусловлена рядом причин.</w:t>
      </w:r>
    </w:p>
    <w:p w14:paraId="24393597"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lastRenderedPageBreak/>
        <w:t>Во-первых, расчетные зависимости для метода ДДП с использованием номинальных ставок доходности могут иметь различный вид.</w:t>
      </w:r>
    </w:p>
    <w:p w14:paraId="41C9A6A4"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Чаще всего на практике используют уравнение ДДП для постоянной ставки доходности в виде</w:t>
      </w:r>
    </w:p>
    <w:p w14:paraId="700AB1AD" w14:textId="3D83C0F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288A1AC0" wp14:editId="611A0020">
            <wp:extent cx="4183380" cy="426720"/>
            <wp:effectExtent l="0" t="0" r="7620" b="0"/>
            <wp:docPr id="4" name="Рисунок 4"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Фоменко"/>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83380" cy="42672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(11)</w:t>
      </w:r>
    </w:p>
    <w:p w14:paraId="654F1A5A"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Вместе с тем возможно использование уравнений ДДП с переменными по периодам ставками доходности [1, 7]:</w:t>
      </w:r>
    </w:p>
    <w:p w14:paraId="26B2ED1A"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 при использовании спот-ставок:</w:t>
      </w:r>
    </w:p>
    <w:p w14:paraId="393EC255" w14:textId="69590665"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5531133D" wp14:editId="21A245B5">
            <wp:extent cx="4236720" cy="426720"/>
            <wp:effectExtent l="0" t="0" r="0" b="0"/>
            <wp:docPr id="3" name="Рисунок 3"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Фоменко"/>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36720" cy="42672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(12)</w:t>
      </w:r>
    </w:p>
    <w:p w14:paraId="37B20016"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 при использовании форвардных ставок:</w:t>
      </w:r>
    </w:p>
    <w:p w14:paraId="42BA113A" w14:textId="60BFC22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56BBDCAE" wp14:editId="200451B8">
            <wp:extent cx="4686300" cy="868680"/>
            <wp:effectExtent l="0" t="0" r="0" b="7620"/>
            <wp:docPr id="2" name="Рисунок 2"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Фоменко"/>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6300" cy="868680"/>
                    </a:xfrm>
                    <a:prstGeom prst="rect">
                      <a:avLst/>
                    </a:prstGeom>
                    <a:noFill/>
                    <a:ln>
                      <a:noFill/>
                    </a:ln>
                  </pic:spPr>
                </pic:pic>
              </a:graphicData>
            </a:graphic>
          </wp:inline>
        </w:drawing>
      </w:r>
      <w:r w:rsidRPr="00E9483E">
        <w:rPr>
          <w:rFonts w:ascii="Arial" w:eastAsia="Times New Roman" w:hAnsi="Arial" w:cs="Arial"/>
          <w:color w:val="000000"/>
          <w:sz w:val="20"/>
          <w:szCs w:val="20"/>
          <w:lang w:eastAsia="ru-RU"/>
        </w:rPr>
        <w:t> (13)</w:t>
      </w:r>
    </w:p>
    <w:p w14:paraId="7733B19D"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Во-вторых, продолжительность прогнозного периода при использовании метода ДДП также может быть различной.</w:t>
      </w:r>
    </w:p>
    <w:p w14:paraId="1531C22F"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В-третьих, различным образом может определяться и стоимость реверсии:</w:t>
      </w:r>
      <w:r w:rsidRPr="00E9483E">
        <w:rPr>
          <w:rFonts w:ascii="Arial" w:eastAsia="Times New Roman" w:hAnsi="Arial" w:cs="Arial"/>
          <w:color w:val="000000"/>
          <w:sz w:val="20"/>
          <w:szCs w:val="20"/>
          <w:lang w:eastAsia="ru-RU"/>
        </w:rPr>
        <w:br/>
        <w:t>– на основе капитализации ЧОД первого года постпрогнозного периода с использованием нормы возврата капитала по методам Инвуда, Хоскольда, Ринга или модели Гордона;</w:t>
      </w:r>
      <w:r w:rsidRPr="00E9483E">
        <w:rPr>
          <w:rFonts w:ascii="Arial" w:eastAsia="Times New Roman" w:hAnsi="Arial" w:cs="Arial"/>
          <w:color w:val="000000"/>
          <w:sz w:val="20"/>
          <w:szCs w:val="20"/>
          <w:lang w:eastAsia="ru-RU"/>
        </w:rPr>
        <w:br/>
        <w:t>– путем непосредственного прогноза текущей стоимости актива на первый год постпрогнозного периода с использованием темпов роста его стоимости.</w:t>
      </w:r>
    </w:p>
    <w:p w14:paraId="30F33927"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Все это многообразие вариантов расчета методом ДДП приводит к тому, что рассчитанные номинальные ставки отличаются от полученных  методом ПК. Результаты расчета некоторых вариантов, при условии, что стоимость актива на дату оценки одна и та же и соответствует реальной ставке доходности 10 %, приведены в табл. 1.</w:t>
      </w:r>
    </w:p>
    <w:p w14:paraId="7DE449DB"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b/>
          <w:bCs/>
          <w:i/>
          <w:iCs/>
          <w:color w:val="000000"/>
          <w:sz w:val="20"/>
          <w:szCs w:val="20"/>
          <w:lang w:eastAsia="ru-RU"/>
        </w:rPr>
        <w:t>Таблица 1</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569"/>
        <w:gridCol w:w="1659"/>
        <w:gridCol w:w="738"/>
        <w:gridCol w:w="738"/>
        <w:gridCol w:w="738"/>
        <w:gridCol w:w="738"/>
        <w:gridCol w:w="738"/>
        <w:gridCol w:w="3420"/>
      </w:tblGrid>
      <w:tr w:rsidR="00E9483E" w:rsidRPr="00E9483E" w14:paraId="2AB96F75" w14:textId="77777777" w:rsidTr="00E9483E">
        <w:trPr>
          <w:tblHeader/>
          <w:tblCellSpacing w:w="0" w:type="dxa"/>
        </w:trPr>
        <w:tc>
          <w:tcPr>
            <w:tcW w:w="570"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9F25BB5"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 п/п</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1B5000E"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Вид ставки</w:t>
            </w:r>
          </w:p>
        </w:tc>
        <w:tc>
          <w:tcPr>
            <w:tcW w:w="0" w:type="auto"/>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14:paraId="37CFCFA2"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Значение ставки в %, при продолжительности прогнозного периода, лет</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A5D5CAF"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Условия расчета</w:t>
            </w:r>
          </w:p>
        </w:tc>
      </w:tr>
      <w:tr w:rsidR="00E9483E" w:rsidRPr="00E9483E" w14:paraId="7B855A2B" w14:textId="77777777" w:rsidTr="00E9483E">
        <w:trPr>
          <w:tblHeade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6F592BA" w14:textId="77777777" w:rsidR="00E9483E" w:rsidRPr="00E9483E" w:rsidRDefault="00E9483E" w:rsidP="00E9483E">
            <w:pPr>
              <w:spacing w:after="0"/>
              <w:jc w:val="center"/>
              <w:rPr>
                <w:rFonts w:ascii="Arial" w:eastAsia="Times New Roman" w:hAnsi="Arial" w:cs="Arial"/>
                <w:color w:val="000000"/>
                <w:sz w:val="20"/>
                <w:szCs w:val="20"/>
                <w:lang w:eastAsia="ru-RU"/>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60ABE64" w14:textId="77777777" w:rsidR="00E9483E" w:rsidRPr="00E9483E" w:rsidRDefault="00E9483E" w:rsidP="00E9483E">
            <w:pPr>
              <w:spacing w:after="0"/>
              <w:jc w:val="center"/>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6CD7B"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5C8A4" w14:textId="77777777" w:rsidR="00E9483E" w:rsidRPr="00E9483E" w:rsidRDefault="00E9483E" w:rsidP="00E9483E">
            <w:pPr>
              <w:spacing w:before="100" w:beforeAutospacing="1" w:after="100" w:afterAutospacing="1" w:line="280" w:lineRule="atLeast"/>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F1710" w14:textId="77777777" w:rsidR="00E9483E" w:rsidRPr="00E9483E" w:rsidRDefault="00E9483E" w:rsidP="00E9483E">
            <w:pPr>
              <w:spacing w:before="100" w:beforeAutospacing="1" w:after="100" w:afterAutospacing="1" w:line="280" w:lineRule="atLeast"/>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4B8B2" w14:textId="77777777" w:rsidR="00E9483E" w:rsidRPr="00E9483E" w:rsidRDefault="00E9483E" w:rsidP="00E9483E">
            <w:pPr>
              <w:spacing w:before="100" w:beforeAutospacing="1" w:after="100" w:afterAutospacing="1" w:line="280" w:lineRule="atLeast"/>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E767B" w14:textId="77777777" w:rsidR="00E9483E" w:rsidRPr="00E9483E" w:rsidRDefault="00E9483E" w:rsidP="00E9483E">
            <w:pPr>
              <w:spacing w:before="100" w:beforeAutospacing="1" w:after="100" w:afterAutospacing="1" w:line="280" w:lineRule="atLeast"/>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5</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CC42327" w14:textId="77777777" w:rsidR="00E9483E" w:rsidRPr="00E9483E" w:rsidRDefault="00E9483E" w:rsidP="00E9483E">
            <w:pPr>
              <w:spacing w:after="0"/>
              <w:jc w:val="both"/>
              <w:rPr>
                <w:rFonts w:ascii="Arial" w:eastAsia="Times New Roman" w:hAnsi="Arial" w:cs="Arial"/>
                <w:color w:val="000000"/>
                <w:sz w:val="20"/>
                <w:szCs w:val="20"/>
                <w:lang w:eastAsia="ru-RU"/>
              </w:rPr>
            </w:pPr>
          </w:p>
        </w:tc>
      </w:tr>
      <w:tr w:rsidR="00E9483E" w:rsidRPr="00E9483E" w14:paraId="2F31A499"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11D01"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29317"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Реальная Y</w:t>
            </w:r>
            <w:r w:rsidRPr="00E9483E">
              <w:rPr>
                <w:rFonts w:ascii="Arial" w:eastAsia="Times New Roman" w:hAnsi="Arial" w:cs="Arial"/>
                <w:color w:val="000000"/>
                <w:sz w:val="20"/>
                <w:szCs w:val="20"/>
                <w:vertAlign w:val="subscript"/>
                <w:lang w:eastAsia="ru-RU"/>
              </w:rPr>
              <w:t>р</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1D07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8444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FE46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94AD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9A9C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10</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63C2B7"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и ДДП, зависимости (3) и (6), </w:t>
            </w:r>
            <w:r w:rsidRPr="00E9483E">
              <w:rPr>
                <w:rFonts w:ascii="Arial" w:eastAsia="Times New Roman" w:hAnsi="Arial" w:cs="Arial"/>
                <w:i/>
                <w:iCs/>
                <w:color w:val="000000"/>
                <w:sz w:val="20"/>
                <w:szCs w:val="20"/>
                <w:lang w:eastAsia="ru-RU"/>
              </w:rPr>
              <w:t>f </w:t>
            </w:r>
            <w:r w:rsidRPr="00E9483E">
              <w:rPr>
                <w:rFonts w:ascii="Arial" w:eastAsia="Times New Roman" w:hAnsi="Arial" w:cs="Arial"/>
                <w:color w:val="000000"/>
                <w:sz w:val="20"/>
                <w:szCs w:val="20"/>
                <w:lang w:eastAsia="ru-RU"/>
              </w:rPr>
              <w:t>— метод Инвуда</w:t>
            </w:r>
          </w:p>
        </w:tc>
      </w:tr>
      <w:tr w:rsidR="00E9483E" w:rsidRPr="00E9483E" w14:paraId="2138CEB5"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44B50"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A0BB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Номинальная Y</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0222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11,44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C091D"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68588"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DB71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B654A8"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DAA6A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(7),</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 </w:t>
            </w:r>
            <w:r w:rsidRPr="00E9483E">
              <w:rPr>
                <w:rFonts w:ascii="Arial" w:eastAsia="Times New Roman" w:hAnsi="Arial" w:cs="Arial"/>
                <w:color w:val="000000"/>
                <w:sz w:val="20"/>
                <w:szCs w:val="20"/>
                <w:lang w:eastAsia="ru-RU"/>
              </w:rPr>
              <w:t>— метод Инвуда</w:t>
            </w:r>
          </w:p>
        </w:tc>
      </w:tr>
      <w:tr w:rsidR="00E9483E" w:rsidRPr="00E9483E" w14:paraId="0EE9EA95"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EAE67"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5652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785A7"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11,17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F3FB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ED4154"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EFFD2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049AA"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A6DFF1"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(8),</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 </w:t>
            </w:r>
            <w:r w:rsidRPr="00E9483E">
              <w:rPr>
                <w:rFonts w:ascii="Arial" w:eastAsia="Times New Roman" w:hAnsi="Arial" w:cs="Arial"/>
                <w:color w:val="000000"/>
                <w:sz w:val="20"/>
                <w:szCs w:val="20"/>
                <w:lang w:eastAsia="ru-RU"/>
              </w:rPr>
              <w:t>— метод Инвуда</w:t>
            </w:r>
          </w:p>
        </w:tc>
      </w:tr>
      <w:tr w:rsidR="00E9483E" w:rsidRPr="00E9483E" w14:paraId="262B6F32"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91B4A"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lastRenderedPageBreak/>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8B27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324C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11,50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06737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90E5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75B6D"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B0CD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A835F9"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(7),</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w:t>
            </w:r>
            <w:r w:rsidRPr="00E9483E">
              <w:rPr>
                <w:rFonts w:ascii="Arial" w:eastAsia="Times New Roman" w:hAnsi="Arial" w:cs="Arial"/>
                <w:color w:val="000000"/>
                <w:sz w:val="20"/>
                <w:szCs w:val="20"/>
                <w:lang w:eastAsia="ru-RU"/>
              </w:rPr>
              <w:t> — метод Ринга</w:t>
            </w:r>
          </w:p>
        </w:tc>
      </w:tr>
      <w:tr w:rsidR="00E9483E" w:rsidRPr="00E9483E" w14:paraId="3A94D563"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558D8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2469D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FDFEB4"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23,44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11AC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E1B63"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D9AE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C6628"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980F6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(9),</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w:t>
            </w:r>
            <w:r w:rsidRPr="00E9483E">
              <w:rPr>
                <w:rFonts w:ascii="Arial" w:eastAsia="Times New Roman" w:hAnsi="Arial" w:cs="Arial"/>
                <w:color w:val="000000"/>
                <w:sz w:val="20"/>
                <w:szCs w:val="20"/>
                <w:lang w:eastAsia="ru-RU"/>
              </w:rPr>
              <w:t> — метод Инвуда</w:t>
            </w:r>
          </w:p>
        </w:tc>
      </w:tr>
      <w:tr w:rsidR="00E9483E" w:rsidRPr="00E9483E" w14:paraId="02E008CD"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CB1C6A"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E0C7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00F1BD"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23,17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46EEE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8B8F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C9E6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63BAD"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AC164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(10),</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w:t>
            </w:r>
            <w:r w:rsidRPr="00E9483E">
              <w:rPr>
                <w:rFonts w:ascii="Arial" w:eastAsia="Times New Roman" w:hAnsi="Arial" w:cs="Arial"/>
                <w:color w:val="000000"/>
                <w:sz w:val="20"/>
                <w:szCs w:val="20"/>
                <w:lang w:eastAsia="ru-RU"/>
              </w:rPr>
              <w:t> — метод Инвуда</w:t>
            </w:r>
          </w:p>
        </w:tc>
      </w:tr>
      <w:tr w:rsidR="00E9483E" w:rsidRPr="00E9483E" w14:paraId="619321DE"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E53D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4831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458AC8"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23,50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9DF71"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DC22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E0C51"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B311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879CB3"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(9),</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 </w:t>
            </w:r>
            <w:r w:rsidRPr="00E9483E">
              <w:rPr>
                <w:rFonts w:ascii="Arial" w:eastAsia="Times New Roman" w:hAnsi="Arial" w:cs="Arial"/>
                <w:color w:val="000000"/>
                <w:sz w:val="20"/>
                <w:szCs w:val="20"/>
                <w:lang w:eastAsia="ru-RU"/>
              </w:rPr>
              <w:t>— метод Ринга</w:t>
            </w:r>
          </w:p>
        </w:tc>
      </w:tr>
      <w:tr w:rsidR="00E9483E" w:rsidRPr="00E9483E" w14:paraId="65AA441F"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72D3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DF9D6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7731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23,20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7AD18"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86D34"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2248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812C10"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841870"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Формула Фишера (расчет по tс)</w:t>
            </w:r>
          </w:p>
        </w:tc>
      </w:tr>
      <w:tr w:rsidR="00E9483E" w:rsidRPr="00E9483E" w14:paraId="679E0560"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4456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69E90"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5DCB9D"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12,78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8FC9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14,01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EC2F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15,11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A2FA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16,08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232A3"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16,92</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CDA0C9"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ДДП, зависимость (11),</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С</w:t>
            </w:r>
            <w:r w:rsidRPr="00E9483E">
              <w:rPr>
                <w:rFonts w:ascii="Arial" w:eastAsia="Times New Roman" w:hAnsi="Arial" w:cs="Arial"/>
                <w:color w:val="000000"/>
                <w:sz w:val="20"/>
                <w:szCs w:val="20"/>
                <w:vertAlign w:val="subscript"/>
                <w:lang w:eastAsia="ru-RU"/>
              </w:rPr>
              <w:t>рев</w:t>
            </w:r>
            <w:r w:rsidRPr="00E9483E">
              <w:rPr>
                <w:rFonts w:ascii="Arial" w:eastAsia="Times New Roman" w:hAnsi="Arial" w:cs="Arial"/>
                <w:color w:val="000000"/>
                <w:sz w:val="20"/>
                <w:szCs w:val="20"/>
                <w:lang w:eastAsia="ru-RU"/>
              </w:rPr>
              <w:t> — метод ПК, </w:t>
            </w:r>
            <w:r w:rsidRPr="00E9483E">
              <w:rPr>
                <w:rFonts w:ascii="Arial" w:eastAsia="Times New Roman" w:hAnsi="Arial" w:cs="Arial"/>
                <w:i/>
                <w:iCs/>
                <w:color w:val="000000"/>
                <w:sz w:val="20"/>
                <w:szCs w:val="20"/>
                <w:lang w:eastAsia="ru-RU"/>
              </w:rPr>
              <w:t>f</w:t>
            </w:r>
            <w:r w:rsidRPr="00E9483E">
              <w:rPr>
                <w:rFonts w:ascii="Arial" w:eastAsia="Times New Roman" w:hAnsi="Arial" w:cs="Arial"/>
                <w:color w:val="000000"/>
                <w:sz w:val="20"/>
                <w:szCs w:val="20"/>
                <w:lang w:eastAsia="ru-RU"/>
              </w:rPr>
              <w:t> — метод Инвуда</w:t>
            </w:r>
          </w:p>
        </w:tc>
      </w:tr>
      <w:tr w:rsidR="00E9483E" w:rsidRPr="00E9483E" w14:paraId="6C4B6C7D"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12338"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0F209"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2232D"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12,78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C625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14,03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A69501"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15,19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F0D91"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16,26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87B73"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17,25</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94A35A"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ДДП, зависимость (12),</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С</w:t>
            </w:r>
            <w:r w:rsidRPr="00E9483E">
              <w:rPr>
                <w:rFonts w:ascii="Arial" w:eastAsia="Times New Roman" w:hAnsi="Arial" w:cs="Arial"/>
                <w:color w:val="000000"/>
                <w:sz w:val="20"/>
                <w:szCs w:val="20"/>
                <w:vertAlign w:val="subscript"/>
                <w:lang w:eastAsia="ru-RU"/>
              </w:rPr>
              <w:t>рев</w:t>
            </w:r>
            <w:r w:rsidRPr="00E9483E">
              <w:rPr>
                <w:rFonts w:ascii="Arial" w:eastAsia="Times New Roman" w:hAnsi="Arial" w:cs="Arial"/>
                <w:color w:val="000000"/>
                <w:sz w:val="20"/>
                <w:szCs w:val="20"/>
                <w:lang w:eastAsia="ru-RU"/>
              </w:rPr>
              <w:t> — метод ПК, </w:t>
            </w:r>
            <w:r w:rsidRPr="00E9483E">
              <w:rPr>
                <w:rFonts w:ascii="Arial" w:eastAsia="Times New Roman" w:hAnsi="Arial" w:cs="Arial"/>
                <w:i/>
                <w:iCs/>
                <w:color w:val="000000"/>
                <w:sz w:val="20"/>
                <w:szCs w:val="20"/>
                <w:lang w:eastAsia="ru-RU"/>
              </w:rPr>
              <w:t>f</w:t>
            </w:r>
            <w:r w:rsidRPr="00E9483E">
              <w:rPr>
                <w:rFonts w:ascii="Arial" w:eastAsia="Times New Roman" w:hAnsi="Arial" w:cs="Arial"/>
                <w:color w:val="000000"/>
                <w:sz w:val="20"/>
                <w:szCs w:val="20"/>
                <w:lang w:eastAsia="ru-RU"/>
              </w:rPr>
              <w:t> — метод Инвуда</w:t>
            </w:r>
          </w:p>
        </w:tc>
      </w:tr>
      <w:tr w:rsidR="00E9483E" w:rsidRPr="00E9483E" w14:paraId="2D1B37D7"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DEB7A"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F68B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B1BDBA"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12,78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862B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14,23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FA74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15,77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1FDE0"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17,43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B5707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19,21</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7A842E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ДДП, зависимость (13),</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С</w:t>
            </w:r>
            <w:r w:rsidRPr="00E9483E">
              <w:rPr>
                <w:rFonts w:ascii="Arial" w:eastAsia="Times New Roman" w:hAnsi="Arial" w:cs="Arial"/>
                <w:color w:val="000000"/>
                <w:sz w:val="20"/>
                <w:szCs w:val="20"/>
                <w:vertAlign w:val="subscript"/>
                <w:lang w:eastAsia="ru-RU"/>
              </w:rPr>
              <w:t>рев</w:t>
            </w:r>
            <w:r w:rsidRPr="00E9483E">
              <w:rPr>
                <w:rFonts w:ascii="Arial" w:eastAsia="Times New Roman" w:hAnsi="Arial" w:cs="Arial"/>
                <w:color w:val="000000"/>
                <w:sz w:val="20"/>
                <w:szCs w:val="20"/>
                <w:lang w:eastAsia="ru-RU"/>
              </w:rPr>
              <w:t> — метод ПК, </w:t>
            </w:r>
            <w:r w:rsidRPr="00E9483E">
              <w:rPr>
                <w:rFonts w:ascii="Arial" w:eastAsia="Times New Roman" w:hAnsi="Arial" w:cs="Arial"/>
                <w:i/>
                <w:iCs/>
                <w:color w:val="000000"/>
                <w:sz w:val="20"/>
                <w:szCs w:val="20"/>
                <w:lang w:eastAsia="ru-RU"/>
              </w:rPr>
              <w:t>f </w:t>
            </w:r>
            <w:r w:rsidRPr="00E9483E">
              <w:rPr>
                <w:rFonts w:ascii="Arial" w:eastAsia="Times New Roman" w:hAnsi="Arial" w:cs="Arial"/>
                <w:color w:val="000000"/>
                <w:sz w:val="20"/>
                <w:szCs w:val="20"/>
                <w:lang w:eastAsia="ru-RU"/>
              </w:rPr>
              <w:t>— метод Инвуда</w:t>
            </w:r>
          </w:p>
        </w:tc>
      </w:tr>
      <w:tr w:rsidR="00E9483E" w:rsidRPr="00E9483E" w14:paraId="203884C8"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9F51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D5AB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DD7A7"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36,44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6EBD9"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29,15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2B6E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26,76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108CC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25,54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63AC3"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24,80</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391DC8"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ДДП, зависимость (11),</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С</w:t>
            </w:r>
            <w:r w:rsidRPr="00E9483E">
              <w:rPr>
                <w:rFonts w:ascii="Arial" w:eastAsia="Times New Roman" w:hAnsi="Arial" w:cs="Arial"/>
                <w:color w:val="000000"/>
                <w:sz w:val="20"/>
                <w:szCs w:val="20"/>
                <w:vertAlign w:val="subscript"/>
                <w:lang w:eastAsia="ru-RU"/>
              </w:rPr>
              <w:t>рев</w:t>
            </w:r>
            <w:r w:rsidRPr="00E9483E">
              <w:rPr>
                <w:rFonts w:ascii="Arial" w:eastAsia="Times New Roman" w:hAnsi="Arial" w:cs="Arial"/>
                <w:color w:val="000000"/>
                <w:sz w:val="20"/>
                <w:szCs w:val="20"/>
                <w:lang w:eastAsia="ru-RU"/>
              </w:rPr>
              <w:t> — прогноз на основе темпов роста стоимости актива (</w:t>
            </w:r>
            <w:r w:rsidRPr="00E9483E">
              <w:rPr>
                <w:rFonts w:ascii="Arial" w:eastAsia="Times New Roman" w:hAnsi="Arial" w:cs="Arial"/>
                <w:i/>
                <w:iCs/>
                <w:color w:val="000000"/>
                <w:sz w:val="20"/>
                <w:szCs w:val="20"/>
                <w:lang w:eastAsia="ru-RU"/>
              </w:rPr>
              <w:t>t</w:t>
            </w:r>
            <w:r w:rsidRPr="00E9483E">
              <w:rPr>
                <w:rFonts w:ascii="Arial" w:eastAsia="Times New Roman" w:hAnsi="Arial" w:cs="Arial"/>
                <w:color w:val="000000"/>
                <w:sz w:val="20"/>
                <w:szCs w:val="20"/>
                <w:vertAlign w:val="subscript"/>
                <w:lang w:eastAsia="ru-RU"/>
              </w:rPr>
              <w:t>с</w:t>
            </w:r>
            <w:r w:rsidRPr="00E9483E">
              <w:rPr>
                <w:rFonts w:ascii="Arial" w:eastAsia="Times New Roman" w:hAnsi="Arial" w:cs="Arial"/>
                <w:color w:val="000000"/>
                <w:sz w:val="20"/>
                <w:szCs w:val="20"/>
                <w:lang w:eastAsia="ru-RU"/>
              </w:rPr>
              <w:t>)</w:t>
            </w:r>
          </w:p>
        </w:tc>
      </w:tr>
    </w:tbl>
    <w:p w14:paraId="334AC1B3"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Примечание. При расчете номинальных ставок доходности </w:t>
      </w: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н</w:t>
      </w:r>
      <w:r w:rsidRPr="00E9483E">
        <w:rPr>
          <w:rFonts w:ascii="Arial" w:eastAsia="Times New Roman" w:hAnsi="Arial" w:cs="Arial"/>
          <w:color w:val="000000"/>
          <w:sz w:val="20"/>
          <w:szCs w:val="20"/>
          <w:lang w:eastAsia="ru-RU"/>
        </w:rPr>
        <w:t> принято: </w:t>
      </w:r>
      <w:r w:rsidRPr="00E9483E">
        <w:rPr>
          <w:rFonts w:ascii="Arial" w:eastAsia="Times New Roman" w:hAnsi="Arial" w:cs="Arial"/>
          <w:i/>
          <w:iCs/>
          <w:color w:val="000000"/>
          <w:sz w:val="20"/>
          <w:szCs w:val="20"/>
          <w:lang w:eastAsia="ru-RU"/>
        </w:rPr>
        <w:t>t</w:t>
      </w:r>
      <w:r w:rsidRPr="00E9483E">
        <w:rPr>
          <w:rFonts w:ascii="Arial" w:eastAsia="Times New Roman" w:hAnsi="Arial" w:cs="Arial"/>
          <w:color w:val="000000"/>
          <w:sz w:val="20"/>
          <w:szCs w:val="20"/>
          <w:vertAlign w:val="subscript"/>
          <w:lang w:eastAsia="ru-RU"/>
        </w:rPr>
        <w:t>ч</w:t>
      </w:r>
      <w:r w:rsidRPr="00E9483E">
        <w:rPr>
          <w:rFonts w:ascii="Arial" w:eastAsia="Times New Roman" w:hAnsi="Arial" w:cs="Arial"/>
          <w:color w:val="000000"/>
          <w:sz w:val="20"/>
          <w:szCs w:val="20"/>
          <w:lang w:eastAsia="ru-RU"/>
        </w:rPr>
        <w:t> = 10 %, </w:t>
      </w:r>
      <w:r w:rsidRPr="00E9483E">
        <w:rPr>
          <w:rFonts w:ascii="Arial" w:eastAsia="Times New Roman" w:hAnsi="Arial" w:cs="Arial"/>
          <w:i/>
          <w:iCs/>
          <w:color w:val="000000"/>
          <w:sz w:val="20"/>
          <w:szCs w:val="20"/>
          <w:lang w:eastAsia="ru-RU"/>
        </w:rPr>
        <w:t>t</w:t>
      </w:r>
      <w:r w:rsidRPr="00E9483E">
        <w:rPr>
          <w:rFonts w:ascii="Arial" w:eastAsia="Times New Roman" w:hAnsi="Arial" w:cs="Arial"/>
          <w:color w:val="000000"/>
          <w:sz w:val="20"/>
          <w:szCs w:val="20"/>
          <w:vertAlign w:val="subscript"/>
          <w:lang w:eastAsia="ru-RU"/>
        </w:rPr>
        <w:t>с</w:t>
      </w:r>
      <w:r w:rsidRPr="00E9483E">
        <w:rPr>
          <w:rFonts w:ascii="Arial" w:eastAsia="Times New Roman" w:hAnsi="Arial" w:cs="Arial"/>
          <w:color w:val="000000"/>
          <w:sz w:val="20"/>
          <w:szCs w:val="20"/>
          <w:lang w:eastAsia="ru-RU"/>
        </w:rPr>
        <w:t> = 12 %.</w:t>
      </w:r>
    </w:p>
    <w:p w14:paraId="55F5D016"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Приведенные примеры показывают, что значение номинальной ставки доходности существенным образом зависит от метода расчета. Поэтому для получения адекватных результатов при использовании метода рыночной экстракции для определения номинальной ставки доходности процесс экстракции необходимо проводить с использованием зависимости, которая в дальнейшем будет использована при проведении оценочных расчетов.</w:t>
      </w:r>
    </w:p>
    <w:p w14:paraId="523CB096" w14:textId="77777777" w:rsidR="00E9483E" w:rsidRPr="00E9483E" w:rsidRDefault="00E9483E" w:rsidP="00E9483E">
      <w:pPr>
        <w:spacing w:after="0"/>
        <w:rPr>
          <w:rFonts w:eastAsia="Times New Roman" w:cs="Times New Roman"/>
          <w:sz w:val="24"/>
          <w:szCs w:val="24"/>
          <w:lang w:eastAsia="ru-RU"/>
        </w:rPr>
      </w:pPr>
      <w:r w:rsidRPr="00E9483E">
        <w:rPr>
          <w:rFonts w:ascii="Arial" w:eastAsia="Times New Roman" w:hAnsi="Arial" w:cs="Arial"/>
          <w:b/>
          <w:bCs/>
          <w:color w:val="000000"/>
          <w:sz w:val="20"/>
          <w:szCs w:val="20"/>
          <w:shd w:val="clear" w:color="auto" w:fill="FFFFFF"/>
          <w:lang w:eastAsia="ru-RU"/>
        </w:rPr>
        <w:t>Расчет рисков инвестиций</w:t>
      </w:r>
    </w:p>
    <w:p w14:paraId="7D4F471A"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Для определения ставки доходности практикующие оценщики достаточно часто применяют метод кумулятивного построения. Суть его состоит в том, что ставка доходности представляется в виде суммы так называемой безрисковой ставки доходности и премий (надбавок) за риски инвестиций ([8] и др.). При этом используются различные методы определения рисков: от экспертного назначения величин до построения расчетно-аналитических моделей. Однако на практике всем этим методам присущи элементы субъективизма.</w:t>
      </w:r>
    </w:p>
    <w:p w14:paraId="65679DC4"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рыночной экстракции создает возможность определения рисков разных инвестиций на основе рыночных данных.</w:t>
      </w:r>
    </w:p>
    <w:p w14:paraId="531C42A4"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Обычно в качестве безрисковых ставок рассматривают ставки доходности к погашению по государственным ценным бумагам (облигациям). Однако рыночные данные по ставкам доходности облигаций являются условно безрисковыми, поскольку содержат в своем составе инфляционные риски. Поэтому используемые оценщиками ставки доходности по облигациям являются номинальными.</w:t>
      </w:r>
    </w:p>
    <w:p w14:paraId="7E3570A1"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lastRenderedPageBreak/>
        <w:t>Для обеспечения сопоставимости величины инфляционных рисков для безрисковой ставки и ставки доходности оцениваемого актива обычно стремятся подобрать облигацию со сроком погашения, близким к периоду владения активом.</w:t>
      </w:r>
    </w:p>
    <w:p w14:paraId="632ED5A2"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Если определить методом рыночной экстракции номинальную ставку доходности и выбрать (номинальную) безрисковую ставку, то можно определить суммарный риск инвестиций. Расчетная зависимость имеет вид:</w:t>
      </w:r>
    </w:p>
    <w:p w14:paraId="16C69F84" w14:textId="522BB813"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noProof/>
          <w:color w:val="000000"/>
          <w:sz w:val="20"/>
          <w:szCs w:val="20"/>
          <w:lang w:eastAsia="ru-RU"/>
        </w:rPr>
        <w:drawing>
          <wp:inline distT="0" distB="0" distL="0" distR="0" wp14:anchorId="000DF108" wp14:editId="3DD93DFC">
            <wp:extent cx="731520" cy="228600"/>
            <wp:effectExtent l="0" t="0" r="0" b="0"/>
            <wp:docPr id="1" name="Рисунок 1" descr="Фомен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Фоменко"/>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31520" cy="228600"/>
                    </a:xfrm>
                    <a:prstGeom prst="rect">
                      <a:avLst/>
                    </a:prstGeom>
                    <a:noFill/>
                    <a:ln>
                      <a:noFill/>
                    </a:ln>
                  </pic:spPr>
                </pic:pic>
              </a:graphicData>
            </a:graphic>
          </wp:inline>
        </w:drawing>
      </w:r>
    </w:p>
    <w:p w14:paraId="5CE24180"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где</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vertAlign w:val="subscript"/>
          <w:lang w:eastAsia="ru-RU"/>
        </w:rPr>
        <w:t>н</w:t>
      </w:r>
      <w:r w:rsidRPr="00E9483E">
        <w:rPr>
          <w:rFonts w:ascii="Arial" w:eastAsia="Times New Roman" w:hAnsi="Arial" w:cs="Arial"/>
          <w:color w:val="000000"/>
          <w:sz w:val="20"/>
          <w:szCs w:val="20"/>
          <w:lang w:eastAsia="ru-RU"/>
        </w:rPr>
        <w:t>— суммарный риск инвестиций (в номинальном выражении);</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Y</w:t>
      </w:r>
      <w:r w:rsidRPr="00E9483E">
        <w:rPr>
          <w:rFonts w:ascii="Arial" w:eastAsia="Times New Roman" w:hAnsi="Arial" w:cs="Arial"/>
          <w:color w:val="000000"/>
          <w:sz w:val="20"/>
          <w:szCs w:val="20"/>
          <w:vertAlign w:val="subscript"/>
          <w:lang w:eastAsia="ru-RU"/>
        </w:rPr>
        <w:t>бр</w:t>
      </w:r>
      <w:r w:rsidRPr="00E9483E">
        <w:rPr>
          <w:rFonts w:ascii="Arial" w:eastAsia="Times New Roman" w:hAnsi="Arial" w:cs="Arial"/>
          <w:color w:val="000000"/>
          <w:sz w:val="20"/>
          <w:szCs w:val="20"/>
          <w:lang w:eastAsia="ru-RU"/>
        </w:rPr>
        <w:t>— безрисковая ставка доходности.</w:t>
      </w:r>
    </w:p>
    <w:p w14:paraId="6EF7AE54"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Результаты расчета рисков инвестиций для рассчитанных выше (см. табл. 1) номинальных ставок доходности приведены в табл. 2 (нумерация соответствующих граф табл. 1 сохранена). При расчетах принималось, что Y</w:t>
      </w:r>
      <w:r w:rsidRPr="00E9483E">
        <w:rPr>
          <w:rFonts w:ascii="Arial" w:eastAsia="Times New Roman" w:hAnsi="Arial" w:cs="Arial"/>
          <w:color w:val="000000"/>
          <w:sz w:val="20"/>
          <w:szCs w:val="20"/>
          <w:vertAlign w:val="subscript"/>
          <w:lang w:eastAsia="ru-RU"/>
        </w:rPr>
        <w:t>бр</w:t>
      </w:r>
      <w:r w:rsidRPr="00E9483E">
        <w:rPr>
          <w:rFonts w:ascii="Arial" w:eastAsia="Times New Roman" w:hAnsi="Arial" w:cs="Arial"/>
          <w:color w:val="000000"/>
          <w:sz w:val="20"/>
          <w:szCs w:val="20"/>
          <w:lang w:eastAsia="ru-RU"/>
        </w:rPr>
        <w:t> = 5 %.</w:t>
      </w:r>
    </w:p>
    <w:p w14:paraId="2EE7BCC2"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b/>
          <w:bCs/>
          <w:i/>
          <w:iCs/>
          <w:color w:val="000000"/>
          <w:sz w:val="20"/>
          <w:szCs w:val="20"/>
          <w:lang w:eastAsia="ru-RU"/>
        </w:rPr>
        <w:t>Таблица 2</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468"/>
        <w:gridCol w:w="1469"/>
        <w:gridCol w:w="797"/>
        <w:gridCol w:w="796"/>
        <w:gridCol w:w="796"/>
        <w:gridCol w:w="796"/>
        <w:gridCol w:w="796"/>
        <w:gridCol w:w="3420"/>
      </w:tblGrid>
      <w:tr w:rsidR="00E9483E" w:rsidRPr="00E9483E" w14:paraId="31879F04" w14:textId="77777777" w:rsidTr="00E9483E">
        <w:trPr>
          <w:tblHeader/>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B413C37"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 п/п</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0AFC65F"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Вид риска</w:t>
            </w:r>
          </w:p>
        </w:tc>
        <w:tc>
          <w:tcPr>
            <w:tcW w:w="0" w:type="auto"/>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14:paraId="525A13C9"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Значение суммарного риска в %, при продолжительности прогнозного периода, лет</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4B5E7B9"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Условия расчета</w:t>
            </w:r>
          </w:p>
        </w:tc>
      </w:tr>
      <w:tr w:rsidR="00E9483E" w:rsidRPr="00E9483E" w14:paraId="116971B8" w14:textId="77777777" w:rsidTr="00E9483E">
        <w:trPr>
          <w:tblHeade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AEC2B21" w14:textId="77777777" w:rsidR="00E9483E" w:rsidRPr="00E9483E" w:rsidRDefault="00E9483E" w:rsidP="00E9483E">
            <w:pPr>
              <w:spacing w:after="0"/>
              <w:jc w:val="center"/>
              <w:rPr>
                <w:rFonts w:ascii="Arial" w:eastAsia="Times New Roman" w:hAnsi="Arial" w:cs="Arial"/>
                <w:color w:val="000000"/>
                <w:sz w:val="20"/>
                <w:szCs w:val="20"/>
                <w:lang w:eastAsia="ru-RU"/>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13F6031" w14:textId="77777777" w:rsidR="00E9483E" w:rsidRPr="00E9483E" w:rsidRDefault="00E9483E" w:rsidP="00E9483E">
            <w:pPr>
              <w:spacing w:after="0"/>
              <w:jc w:val="center"/>
              <w:rPr>
                <w:rFonts w:ascii="Arial" w:eastAsia="Times New Roman" w:hAnsi="Arial" w:cs="Arial"/>
                <w:color w:val="000000"/>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59EB0D"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9B34DA"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774F2"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E5B61"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46E8F" w14:textId="77777777" w:rsidR="00E9483E" w:rsidRPr="00E9483E" w:rsidRDefault="00E9483E" w:rsidP="00E9483E">
            <w:pPr>
              <w:spacing w:after="0"/>
              <w:jc w:val="center"/>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5</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C722105" w14:textId="77777777" w:rsidR="00E9483E" w:rsidRPr="00E9483E" w:rsidRDefault="00E9483E" w:rsidP="00E9483E">
            <w:pPr>
              <w:spacing w:after="0"/>
              <w:jc w:val="both"/>
              <w:rPr>
                <w:rFonts w:ascii="Arial" w:eastAsia="Times New Roman" w:hAnsi="Arial" w:cs="Arial"/>
                <w:color w:val="000000"/>
                <w:sz w:val="20"/>
                <w:szCs w:val="20"/>
                <w:lang w:eastAsia="ru-RU"/>
              </w:rPr>
            </w:pPr>
          </w:p>
        </w:tc>
      </w:tr>
      <w:tr w:rsidR="00E9483E" w:rsidRPr="00E9483E" w14:paraId="345C2E89"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C5C77"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3F2A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Номинальный r</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1F8E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6,44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724F0"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0F5AA"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D3294"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A3DF9"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5823A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(7),</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w:t>
            </w:r>
            <w:r w:rsidRPr="00E9483E">
              <w:rPr>
                <w:rFonts w:ascii="Arial" w:eastAsia="Times New Roman" w:hAnsi="Arial" w:cs="Arial"/>
                <w:color w:val="000000"/>
                <w:sz w:val="20"/>
                <w:szCs w:val="20"/>
                <w:lang w:eastAsia="ru-RU"/>
              </w:rPr>
              <w:t> — метод Инвуда</w:t>
            </w:r>
          </w:p>
        </w:tc>
      </w:tr>
      <w:tr w:rsidR="00E9483E" w:rsidRPr="00E9483E" w14:paraId="117D791C"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1FD1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6FB20"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CD511"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6,17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E6A9D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F886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F1DB8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05FC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E8226D"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(8),</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 </w:t>
            </w:r>
            <w:r w:rsidRPr="00E9483E">
              <w:rPr>
                <w:rFonts w:ascii="Arial" w:eastAsia="Times New Roman" w:hAnsi="Arial" w:cs="Arial"/>
                <w:color w:val="000000"/>
                <w:sz w:val="20"/>
                <w:szCs w:val="20"/>
                <w:lang w:eastAsia="ru-RU"/>
              </w:rPr>
              <w:t>— метод Инвуда</w:t>
            </w:r>
          </w:p>
        </w:tc>
      </w:tr>
      <w:tr w:rsidR="00E9483E" w:rsidRPr="00E9483E" w14:paraId="5C1064A8"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9BD28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971F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51B0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6,50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A5AF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6FBE5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70EC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F31C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956353"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(7),</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w:t>
            </w:r>
            <w:r w:rsidRPr="00E9483E">
              <w:rPr>
                <w:rFonts w:ascii="Arial" w:eastAsia="Times New Roman" w:hAnsi="Arial" w:cs="Arial"/>
                <w:color w:val="000000"/>
                <w:sz w:val="20"/>
                <w:szCs w:val="20"/>
                <w:lang w:eastAsia="ru-RU"/>
              </w:rPr>
              <w:t> — метод Ринга</w:t>
            </w:r>
          </w:p>
        </w:tc>
      </w:tr>
      <w:tr w:rsidR="00E9483E" w:rsidRPr="00E9483E" w14:paraId="1B45791B"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2647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4DE2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A7B1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18,44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213A7"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8BAC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1EDE3"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FDA88"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FF6EA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(9),</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 </w:t>
            </w:r>
            <w:r w:rsidRPr="00E9483E">
              <w:rPr>
                <w:rFonts w:ascii="Arial" w:eastAsia="Times New Roman" w:hAnsi="Arial" w:cs="Arial"/>
                <w:color w:val="000000"/>
                <w:sz w:val="20"/>
                <w:szCs w:val="20"/>
                <w:lang w:eastAsia="ru-RU"/>
              </w:rPr>
              <w:t>— метод Инвуда</w:t>
            </w:r>
          </w:p>
        </w:tc>
      </w:tr>
      <w:tr w:rsidR="00E9483E" w:rsidRPr="00E9483E" w14:paraId="180AF312"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3B243"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A89A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0D42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18,17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7538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D265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4787D"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F0C6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1B4AA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(10),</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 </w:t>
            </w:r>
            <w:r w:rsidRPr="00E9483E">
              <w:rPr>
                <w:rFonts w:ascii="Arial" w:eastAsia="Times New Roman" w:hAnsi="Arial" w:cs="Arial"/>
                <w:color w:val="000000"/>
                <w:sz w:val="20"/>
                <w:szCs w:val="20"/>
                <w:lang w:eastAsia="ru-RU"/>
              </w:rPr>
              <w:t>— метод Инвуда</w:t>
            </w:r>
          </w:p>
        </w:tc>
      </w:tr>
      <w:tr w:rsidR="00E9483E" w:rsidRPr="00E9483E" w14:paraId="1394EE7D"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BBCE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C18A4"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A3EE4"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18,50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B9FA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86FA9"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05D64"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BAB9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A330D3"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ПК, зависимость (9),</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f </w:t>
            </w:r>
            <w:r w:rsidRPr="00E9483E">
              <w:rPr>
                <w:rFonts w:ascii="Arial" w:eastAsia="Times New Roman" w:hAnsi="Arial" w:cs="Arial"/>
                <w:color w:val="000000"/>
                <w:sz w:val="20"/>
                <w:szCs w:val="20"/>
                <w:lang w:eastAsia="ru-RU"/>
              </w:rPr>
              <w:t>— метод Ринга</w:t>
            </w:r>
          </w:p>
        </w:tc>
      </w:tr>
      <w:tr w:rsidR="00E9483E" w:rsidRPr="00E9483E" w14:paraId="34BEFA20"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DF119"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7350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B4649"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18,20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41D1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CA22A"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3628E8"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C2BAA"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B3FB5E"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Формула Фишера (расчет по tс)</w:t>
            </w:r>
          </w:p>
        </w:tc>
      </w:tr>
      <w:tr w:rsidR="00E9483E" w:rsidRPr="00E9483E" w14:paraId="6DA154B6"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E613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4284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FB5AC8"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7,78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67CB3"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9,01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ADB4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10,11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A531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11,08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334B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11,92</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5AE8C9"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ДДП, зависимость (11),</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С</w:t>
            </w:r>
            <w:r w:rsidRPr="00E9483E">
              <w:rPr>
                <w:rFonts w:ascii="Arial" w:eastAsia="Times New Roman" w:hAnsi="Arial" w:cs="Arial"/>
                <w:color w:val="000000"/>
                <w:sz w:val="20"/>
                <w:szCs w:val="20"/>
                <w:vertAlign w:val="subscript"/>
                <w:lang w:eastAsia="ru-RU"/>
              </w:rPr>
              <w:t>рев</w:t>
            </w:r>
            <w:r w:rsidRPr="00E9483E">
              <w:rPr>
                <w:rFonts w:ascii="Arial" w:eastAsia="Times New Roman" w:hAnsi="Arial" w:cs="Arial"/>
                <w:color w:val="000000"/>
                <w:sz w:val="20"/>
                <w:szCs w:val="20"/>
                <w:lang w:eastAsia="ru-RU"/>
              </w:rPr>
              <w:t> — метод ПК, </w:t>
            </w:r>
            <w:r w:rsidRPr="00E9483E">
              <w:rPr>
                <w:rFonts w:ascii="Arial" w:eastAsia="Times New Roman" w:hAnsi="Arial" w:cs="Arial"/>
                <w:i/>
                <w:iCs/>
                <w:color w:val="000000"/>
                <w:sz w:val="20"/>
                <w:szCs w:val="20"/>
                <w:lang w:eastAsia="ru-RU"/>
              </w:rPr>
              <w:t>f</w:t>
            </w:r>
            <w:r w:rsidRPr="00E9483E">
              <w:rPr>
                <w:rFonts w:ascii="Arial" w:eastAsia="Times New Roman" w:hAnsi="Arial" w:cs="Arial"/>
                <w:color w:val="000000"/>
                <w:sz w:val="20"/>
                <w:szCs w:val="20"/>
                <w:lang w:eastAsia="ru-RU"/>
              </w:rPr>
              <w:t> — метод Инвуда</w:t>
            </w:r>
          </w:p>
        </w:tc>
      </w:tr>
      <w:tr w:rsidR="00E9483E" w:rsidRPr="00E9483E" w14:paraId="4867F701"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BC75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A82B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54581"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7,78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820F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9,03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62316"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10,19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CDE07"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11,26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EA6FB"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12,25</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E8CF5D"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ДДП, зависимость (12),</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С</w:t>
            </w:r>
            <w:r w:rsidRPr="00E9483E">
              <w:rPr>
                <w:rFonts w:ascii="Arial" w:eastAsia="Times New Roman" w:hAnsi="Arial" w:cs="Arial"/>
                <w:color w:val="000000"/>
                <w:sz w:val="20"/>
                <w:szCs w:val="20"/>
                <w:vertAlign w:val="subscript"/>
                <w:lang w:eastAsia="ru-RU"/>
              </w:rPr>
              <w:t>рев</w:t>
            </w:r>
            <w:r w:rsidRPr="00E9483E">
              <w:rPr>
                <w:rFonts w:ascii="Arial" w:eastAsia="Times New Roman" w:hAnsi="Arial" w:cs="Arial"/>
                <w:color w:val="000000"/>
                <w:sz w:val="20"/>
                <w:szCs w:val="20"/>
                <w:lang w:eastAsia="ru-RU"/>
              </w:rPr>
              <w:t> — метод ПК, </w:t>
            </w:r>
            <w:r w:rsidRPr="00E9483E">
              <w:rPr>
                <w:rFonts w:ascii="Arial" w:eastAsia="Times New Roman" w:hAnsi="Arial" w:cs="Arial"/>
                <w:i/>
                <w:iCs/>
                <w:color w:val="000000"/>
                <w:sz w:val="20"/>
                <w:szCs w:val="20"/>
                <w:lang w:eastAsia="ru-RU"/>
              </w:rPr>
              <w:t>f </w:t>
            </w:r>
            <w:r w:rsidRPr="00E9483E">
              <w:rPr>
                <w:rFonts w:ascii="Arial" w:eastAsia="Times New Roman" w:hAnsi="Arial" w:cs="Arial"/>
                <w:color w:val="000000"/>
                <w:sz w:val="20"/>
                <w:szCs w:val="20"/>
                <w:lang w:eastAsia="ru-RU"/>
              </w:rPr>
              <w:t>— метод Инвуда</w:t>
            </w:r>
          </w:p>
        </w:tc>
      </w:tr>
      <w:tr w:rsidR="00E9483E" w:rsidRPr="00E9483E" w14:paraId="3861A704"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BC17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B00B3"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6AB8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7,78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ED4A7"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9,23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F0BB2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10,77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86849"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12,43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59D4C"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14,21</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5005249"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ДДП, зависимость (13),</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С</w:t>
            </w:r>
            <w:r w:rsidRPr="00E9483E">
              <w:rPr>
                <w:rFonts w:ascii="Arial" w:eastAsia="Times New Roman" w:hAnsi="Arial" w:cs="Arial"/>
                <w:color w:val="000000"/>
                <w:sz w:val="20"/>
                <w:szCs w:val="20"/>
                <w:vertAlign w:val="subscript"/>
                <w:lang w:eastAsia="ru-RU"/>
              </w:rPr>
              <w:t>рев</w:t>
            </w:r>
            <w:r w:rsidRPr="00E9483E">
              <w:rPr>
                <w:rFonts w:ascii="Arial" w:eastAsia="Times New Roman" w:hAnsi="Arial" w:cs="Arial"/>
                <w:color w:val="000000"/>
                <w:sz w:val="20"/>
                <w:szCs w:val="20"/>
                <w:lang w:eastAsia="ru-RU"/>
              </w:rPr>
              <w:t> — метод ПК, </w:t>
            </w:r>
            <w:r w:rsidRPr="00E9483E">
              <w:rPr>
                <w:rFonts w:ascii="Arial" w:eastAsia="Times New Roman" w:hAnsi="Arial" w:cs="Arial"/>
                <w:i/>
                <w:iCs/>
                <w:color w:val="000000"/>
                <w:sz w:val="20"/>
                <w:szCs w:val="20"/>
                <w:lang w:eastAsia="ru-RU"/>
              </w:rPr>
              <w:t>f </w:t>
            </w:r>
            <w:r w:rsidRPr="00E9483E">
              <w:rPr>
                <w:rFonts w:ascii="Arial" w:eastAsia="Times New Roman" w:hAnsi="Arial" w:cs="Arial"/>
                <w:color w:val="000000"/>
                <w:sz w:val="20"/>
                <w:szCs w:val="20"/>
                <w:lang w:eastAsia="ru-RU"/>
              </w:rPr>
              <w:t>— метод Инвуда</w:t>
            </w:r>
          </w:p>
        </w:tc>
      </w:tr>
      <w:tr w:rsidR="00E9483E" w:rsidRPr="00E9483E" w14:paraId="279847FB" w14:textId="77777777" w:rsidTr="00E9483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11EE5"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AF3E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i/>
                <w:iCs/>
                <w:color w:val="000000"/>
                <w:sz w:val="20"/>
                <w:szCs w:val="20"/>
                <w:lang w:eastAsia="ru-RU"/>
              </w:rPr>
              <w:t>r</w:t>
            </w:r>
            <w:r w:rsidRPr="00E9483E">
              <w:rPr>
                <w:rFonts w:ascii="Arial" w:eastAsia="Times New Roman" w:hAnsi="Arial" w:cs="Arial"/>
                <w:color w:val="000000"/>
                <w:sz w:val="20"/>
                <w:szCs w:val="20"/>
                <w:vertAlign w:val="subscript"/>
                <w:lang w:eastAsia="ru-RU"/>
              </w:rPr>
              <w:t>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B03E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31,44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0ECB0"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24,15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4F1E1"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21,76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02BB1"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20,54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8EECF"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19,80</w:t>
            </w:r>
          </w:p>
        </w:tc>
        <w:tc>
          <w:tcPr>
            <w:tcW w:w="34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EE35F2" w14:textId="77777777" w:rsidR="00E9483E" w:rsidRPr="00E9483E" w:rsidRDefault="00E9483E" w:rsidP="00E9483E">
            <w:pPr>
              <w:spacing w:after="0"/>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Метод ДДП, зависимость (11),</w:t>
            </w:r>
            <w:r w:rsidRPr="00E9483E">
              <w:rPr>
                <w:rFonts w:ascii="Arial" w:eastAsia="Times New Roman" w:hAnsi="Arial" w:cs="Arial"/>
                <w:color w:val="000000"/>
                <w:sz w:val="20"/>
                <w:szCs w:val="20"/>
                <w:lang w:eastAsia="ru-RU"/>
              </w:rPr>
              <w:br/>
            </w:r>
            <w:r w:rsidRPr="00E9483E">
              <w:rPr>
                <w:rFonts w:ascii="Arial" w:eastAsia="Times New Roman" w:hAnsi="Arial" w:cs="Arial"/>
                <w:i/>
                <w:iCs/>
                <w:color w:val="000000"/>
                <w:sz w:val="20"/>
                <w:szCs w:val="20"/>
                <w:lang w:eastAsia="ru-RU"/>
              </w:rPr>
              <w:t>С</w:t>
            </w:r>
            <w:r w:rsidRPr="00E9483E">
              <w:rPr>
                <w:rFonts w:ascii="Arial" w:eastAsia="Times New Roman" w:hAnsi="Arial" w:cs="Arial"/>
                <w:color w:val="000000"/>
                <w:sz w:val="20"/>
                <w:szCs w:val="20"/>
                <w:vertAlign w:val="subscript"/>
                <w:lang w:eastAsia="ru-RU"/>
              </w:rPr>
              <w:t>рев</w:t>
            </w:r>
            <w:r w:rsidRPr="00E9483E">
              <w:rPr>
                <w:rFonts w:ascii="Arial" w:eastAsia="Times New Roman" w:hAnsi="Arial" w:cs="Arial"/>
                <w:color w:val="000000"/>
                <w:sz w:val="20"/>
                <w:szCs w:val="20"/>
                <w:lang w:eastAsia="ru-RU"/>
              </w:rPr>
              <w:t> — прогноз на основе темпов роста стоимости актива (</w:t>
            </w:r>
            <w:r w:rsidRPr="00E9483E">
              <w:rPr>
                <w:rFonts w:ascii="Arial" w:eastAsia="Times New Roman" w:hAnsi="Arial" w:cs="Arial"/>
                <w:i/>
                <w:iCs/>
                <w:color w:val="000000"/>
                <w:sz w:val="20"/>
                <w:szCs w:val="20"/>
                <w:lang w:eastAsia="ru-RU"/>
              </w:rPr>
              <w:t>t</w:t>
            </w:r>
            <w:r w:rsidRPr="00E9483E">
              <w:rPr>
                <w:rFonts w:ascii="Arial" w:eastAsia="Times New Roman" w:hAnsi="Arial" w:cs="Arial"/>
                <w:color w:val="000000"/>
                <w:sz w:val="20"/>
                <w:szCs w:val="20"/>
                <w:vertAlign w:val="subscript"/>
                <w:lang w:eastAsia="ru-RU"/>
              </w:rPr>
              <w:t>с</w:t>
            </w:r>
            <w:r w:rsidRPr="00E9483E">
              <w:rPr>
                <w:rFonts w:ascii="Arial" w:eastAsia="Times New Roman" w:hAnsi="Arial" w:cs="Arial"/>
                <w:color w:val="000000"/>
                <w:sz w:val="20"/>
                <w:szCs w:val="20"/>
                <w:lang w:eastAsia="ru-RU"/>
              </w:rPr>
              <w:t>)</w:t>
            </w:r>
          </w:p>
        </w:tc>
      </w:tr>
    </w:tbl>
    <w:p w14:paraId="180E221B"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Строго говоря, поскольку методы ПК и ДДП предполагают различные сроки владения активом, то используемые безрисковые ставки для этих методов должны отличаться. Однако, в практической оценке это обычно не учитывается.</w:t>
      </w:r>
    </w:p>
    <w:p w14:paraId="713F28F1"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lastRenderedPageBreak/>
        <w:t>В заключение хочется отметить, что возникает соблазн определить реальную безрисковую ставку, используя известную реальную ставку доходности и рассчитанные суммарные риски инвестиций. При этом можно принять допущение, что номинальные риски для актива равны реальным, или использовать для расчета реальных рисков поправку, предложенную в [9].</w:t>
      </w:r>
    </w:p>
    <w:p w14:paraId="1F129C2A"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Однако подобный расчет представляется неправомерным, поскольку прогнозируемые риски при вложении средств в оцениваемый актив и прогнозируемые риски для облигаций, как их воспринимают участники рынка оцениваемых активов и рынка ценных бумаг, существенно различаются. По-видимому, эти различия связаны с высокой динамикой рынка ценных бумаг и спекулятивной составляющей, присутствующей в реальной доходности участников этого рынка. Очевидно, что если попытаться из реальной ставки доходности актива вычесть рассчитанные риски, то в ряде случаев могут получиться отрицательные значения реальных безрисковых ставок. Поэтому реальные безрисковые ставки доходности для государственных облигаций могут быть определены только на основе анализа рынка ценных бумаг, что выходит за рамки настоящей публикации.</w:t>
      </w:r>
    </w:p>
    <w:p w14:paraId="27FDBF6A"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Заключение</w:t>
      </w:r>
    </w:p>
    <w:p w14:paraId="4CA51C46"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В статье рассмотрены особенности применения метода рыночной экстракции для определения реальных и номинальных ставок доходности. Выведены зависимости, устанавливающие связь между номинальными и реальными ставками доходности, которые при определенных условиях совпадают с известной формулой Фишера.</w:t>
      </w:r>
    </w:p>
    <w:p w14:paraId="753A904E"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Также приведены результаты расчета подтверждающие, что адекватное применение метода рыночной экстракции для определения номинальных ставок доходности возможно только при условии использования одинаковых зависимостей для экстракции и для оценки. Показана принципиальная возможность расчета и сравнения рисков инвестиций на основе рыночных данных.</w:t>
      </w:r>
    </w:p>
    <w:p w14:paraId="62BEE93C"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b/>
          <w:bCs/>
          <w:color w:val="000000"/>
          <w:sz w:val="20"/>
          <w:szCs w:val="20"/>
          <w:lang w:eastAsia="ru-RU"/>
        </w:rPr>
        <w:t>Литература</w:t>
      </w:r>
    </w:p>
    <w:p w14:paraId="51068806"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1. </w:t>
      </w:r>
      <w:r w:rsidRPr="00E9483E">
        <w:rPr>
          <w:rFonts w:ascii="Arial" w:eastAsia="Times New Roman" w:hAnsi="Arial" w:cs="Arial"/>
          <w:i/>
          <w:iCs/>
          <w:color w:val="000000"/>
          <w:sz w:val="20"/>
          <w:szCs w:val="20"/>
          <w:lang w:eastAsia="ru-RU"/>
        </w:rPr>
        <w:t>Озеров Е.С.</w:t>
      </w:r>
      <w:r w:rsidRPr="00E9483E">
        <w:rPr>
          <w:rFonts w:ascii="Arial" w:eastAsia="Times New Roman" w:hAnsi="Arial" w:cs="Arial"/>
          <w:color w:val="000000"/>
          <w:sz w:val="20"/>
          <w:szCs w:val="20"/>
          <w:lang w:eastAsia="ru-RU"/>
        </w:rPr>
        <w:t> Экономический анализ и оценка недвижимости. СПб.: МКС, 2007. С. 188–243.</w:t>
      </w:r>
      <w:r w:rsidRPr="00E9483E">
        <w:rPr>
          <w:rFonts w:ascii="Arial" w:eastAsia="Times New Roman" w:hAnsi="Arial" w:cs="Arial"/>
          <w:color w:val="000000"/>
          <w:sz w:val="20"/>
          <w:szCs w:val="20"/>
          <w:lang w:eastAsia="ru-RU"/>
        </w:rPr>
        <w:br/>
        <w:t>2. </w:t>
      </w:r>
      <w:r w:rsidRPr="00E9483E">
        <w:rPr>
          <w:rFonts w:ascii="Arial" w:eastAsia="Times New Roman" w:hAnsi="Arial" w:cs="Arial"/>
          <w:i/>
          <w:iCs/>
          <w:color w:val="000000"/>
          <w:sz w:val="20"/>
          <w:szCs w:val="20"/>
          <w:lang w:eastAsia="ru-RU"/>
        </w:rPr>
        <w:t>Есипов В.Е., Маховикова Г.А., Терехова В.В.</w:t>
      </w:r>
      <w:r w:rsidRPr="00E9483E">
        <w:rPr>
          <w:rFonts w:ascii="Arial" w:eastAsia="Times New Roman" w:hAnsi="Arial" w:cs="Arial"/>
          <w:color w:val="000000"/>
          <w:sz w:val="20"/>
          <w:szCs w:val="20"/>
          <w:lang w:eastAsia="ru-RU"/>
        </w:rPr>
        <w:t> Оценка бизнеса. СПб.: Питер, 2006. С. 99–100.</w:t>
      </w:r>
      <w:r w:rsidRPr="00E9483E">
        <w:rPr>
          <w:rFonts w:ascii="Arial" w:eastAsia="Times New Roman" w:hAnsi="Arial" w:cs="Arial"/>
          <w:color w:val="000000"/>
          <w:sz w:val="20"/>
          <w:szCs w:val="20"/>
          <w:lang w:eastAsia="ru-RU"/>
        </w:rPr>
        <w:br/>
        <w:t>3. </w:t>
      </w:r>
      <w:r w:rsidRPr="00E9483E">
        <w:rPr>
          <w:rFonts w:ascii="Arial" w:eastAsia="Times New Roman" w:hAnsi="Arial" w:cs="Arial"/>
          <w:i/>
          <w:iCs/>
          <w:color w:val="000000"/>
          <w:sz w:val="20"/>
          <w:szCs w:val="20"/>
          <w:lang w:eastAsia="ru-RU"/>
        </w:rPr>
        <w:t>Фоменко А.Н.</w:t>
      </w:r>
      <w:r w:rsidRPr="00E9483E">
        <w:rPr>
          <w:rFonts w:ascii="Arial" w:eastAsia="Times New Roman" w:hAnsi="Arial" w:cs="Arial"/>
          <w:color w:val="000000"/>
          <w:sz w:val="20"/>
          <w:szCs w:val="20"/>
          <w:lang w:eastAsia="ru-RU"/>
        </w:rPr>
        <w:t> Особенности использования ВРМ при определении коэффициента капитализации методом рыночной экстракции. — www.appraiser.ru</w:t>
      </w:r>
      <w:r w:rsidRPr="00E9483E">
        <w:rPr>
          <w:rFonts w:ascii="Arial" w:eastAsia="Times New Roman" w:hAnsi="Arial" w:cs="Arial"/>
          <w:color w:val="000000"/>
          <w:sz w:val="20"/>
          <w:szCs w:val="20"/>
          <w:lang w:eastAsia="ru-RU"/>
        </w:rPr>
        <w:br/>
        <w:t>4. </w:t>
      </w:r>
      <w:r w:rsidRPr="00E9483E">
        <w:rPr>
          <w:rFonts w:ascii="Arial" w:eastAsia="Times New Roman" w:hAnsi="Arial" w:cs="Arial"/>
          <w:i/>
          <w:iCs/>
          <w:color w:val="000000"/>
          <w:sz w:val="20"/>
          <w:szCs w:val="20"/>
          <w:lang w:eastAsia="ru-RU"/>
        </w:rPr>
        <w:t>Михайлец В.Б., Артеменков И.Л., Артеменков А.И.</w:t>
      </w:r>
      <w:r w:rsidRPr="00E9483E">
        <w:rPr>
          <w:rFonts w:ascii="Arial" w:eastAsia="Times New Roman" w:hAnsi="Arial" w:cs="Arial"/>
          <w:color w:val="000000"/>
          <w:sz w:val="20"/>
          <w:szCs w:val="20"/>
          <w:lang w:eastAsia="ru-RU"/>
        </w:rPr>
        <w:t> Доходный подход и принцип дисконтирования при оценке приносящих доход неликвидных активов. Пересмотр понятий о доходном подходе и разработка транзакционной модели ценообразования // Вопросы оценки. 2008. № 1.</w:t>
      </w:r>
      <w:r w:rsidRPr="00E9483E">
        <w:rPr>
          <w:rFonts w:ascii="Arial" w:eastAsia="Times New Roman" w:hAnsi="Arial" w:cs="Arial"/>
          <w:color w:val="000000"/>
          <w:sz w:val="20"/>
          <w:szCs w:val="20"/>
          <w:lang w:eastAsia="ru-RU"/>
        </w:rPr>
        <w:br/>
        <w:t>5. </w:t>
      </w:r>
      <w:r w:rsidRPr="00E9483E">
        <w:rPr>
          <w:rFonts w:ascii="Arial" w:eastAsia="Times New Roman" w:hAnsi="Arial" w:cs="Arial"/>
          <w:i/>
          <w:iCs/>
          <w:color w:val="000000"/>
          <w:sz w:val="20"/>
          <w:szCs w:val="20"/>
          <w:lang w:eastAsia="ru-RU"/>
        </w:rPr>
        <w:t>Фоменко А.Н.</w:t>
      </w:r>
      <w:r w:rsidRPr="00E9483E">
        <w:rPr>
          <w:rFonts w:ascii="Arial" w:eastAsia="Times New Roman" w:hAnsi="Arial" w:cs="Arial"/>
          <w:color w:val="000000"/>
          <w:sz w:val="20"/>
          <w:szCs w:val="20"/>
          <w:lang w:eastAsia="ru-RU"/>
        </w:rPr>
        <w:t> Возможная погрешность и неопределенность результатов оценочных расчетов при использовании различной техники дисконтирования. — www.anf-ocenka.narod.ru</w:t>
      </w:r>
      <w:r w:rsidRPr="00E9483E">
        <w:rPr>
          <w:rFonts w:ascii="Arial" w:eastAsia="Times New Roman" w:hAnsi="Arial" w:cs="Arial"/>
          <w:color w:val="000000"/>
          <w:sz w:val="20"/>
          <w:szCs w:val="20"/>
          <w:lang w:eastAsia="ru-RU"/>
        </w:rPr>
        <w:br/>
        <w:t>6. </w:t>
      </w:r>
      <w:r w:rsidRPr="00E9483E">
        <w:rPr>
          <w:rFonts w:ascii="Arial" w:eastAsia="Times New Roman" w:hAnsi="Arial" w:cs="Arial"/>
          <w:i/>
          <w:iCs/>
          <w:color w:val="000000"/>
          <w:sz w:val="20"/>
          <w:szCs w:val="20"/>
          <w:lang w:eastAsia="ru-RU"/>
        </w:rPr>
        <w:t>Лейфер Л.А.</w:t>
      </w:r>
      <w:r w:rsidRPr="00E9483E">
        <w:rPr>
          <w:rFonts w:ascii="Arial" w:eastAsia="Times New Roman" w:hAnsi="Arial" w:cs="Arial"/>
          <w:color w:val="000000"/>
          <w:sz w:val="20"/>
          <w:szCs w:val="20"/>
          <w:lang w:eastAsia="ru-RU"/>
        </w:rPr>
        <w:t> Доходный подход при оценке недвижимости. Типизация моделей прогнозируемых денежных потоков // Вопросы оценки. 2007. № 3.</w:t>
      </w:r>
      <w:r w:rsidRPr="00E9483E">
        <w:rPr>
          <w:rFonts w:ascii="Arial" w:eastAsia="Times New Roman" w:hAnsi="Arial" w:cs="Arial"/>
          <w:color w:val="000000"/>
          <w:sz w:val="20"/>
          <w:szCs w:val="20"/>
          <w:lang w:eastAsia="ru-RU"/>
        </w:rPr>
        <w:br/>
        <w:t>7. </w:t>
      </w:r>
      <w:r w:rsidRPr="00E9483E">
        <w:rPr>
          <w:rFonts w:ascii="Arial" w:eastAsia="Times New Roman" w:hAnsi="Arial" w:cs="Arial"/>
          <w:i/>
          <w:iCs/>
          <w:color w:val="000000"/>
          <w:sz w:val="20"/>
          <w:szCs w:val="20"/>
          <w:lang w:eastAsia="ru-RU"/>
        </w:rPr>
        <w:t>Фоменко А.Н.</w:t>
      </w:r>
      <w:r w:rsidRPr="00E9483E">
        <w:rPr>
          <w:rFonts w:ascii="Arial" w:eastAsia="Times New Roman" w:hAnsi="Arial" w:cs="Arial"/>
          <w:color w:val="000000"/>
          <w:sz w:val="20"/>
          <w:szCs w:val="20"/>
          <w:lang w:eastAsia="ru-RU"/>
        </w:rPr>
        <w:t> Использование переменной ставки дисконтирования при оценке стоимости объектов недвижимости в рамках доходного подхода. — www.anf-ocenka.narod.ru</w:t>
      </w:r>
      <w:r w:rsidRPr="00E9483E">
        <w:rPr>
          <w:rFonts w:ascii="Arial" w:eastAsia="Times New Roman" w:hAnsi="Arial" w:cs="Arial"/>
          <w:color w:val="000000"/>
          <w:sz w:val="20"/>
          <w:szCs w:val="20"/>
          <w:lang w:eastAsia="ru-RU"/>
        </w:rPr>
        <w:br/>
        <w:t>8. Оценка недвижимости / Под ред. А.Г. Грязновой, М.А. Федотовой. М.: Финансы и статистика, 2005. С. 146–149.</w:t>
      </w:r>
      <w:r w:rsidRPr="00E9483E">
        <w:rPr>
          <w:rFonts w:ascii="Arial" w:eastAsia="Times New Roman" w:hAnsi="Arial" w:cs="Arial"/>
          <w:color w:val="000000"/>
          <w:sz w:val="20"/>
          <w:szCs w:val="20"/>
          <w:lang w:eastAsia="ru-RU"/>
        </w:rPr>
        <w:br/>
        <w:t>9. </w:t>
      </w:r>
      <w:r w:rsidRPr="00E9483E">
        <w:rPr>
          <w:rFonts w:ascii="Arial" w:eastAsia="Times New Roman" w:hAnsi="Arial" w:cs="Arial"/>
          <w:i/>
          <w:iCs/>
          <w:color w:val="000000"/>
          <w:sz w:val="20"/>
          <w:szCs w:val="20"/>
          <w:lang w:eastAsia="ru-RU"/>
        </w:rPr>
        <w:t>Козырь Ю.В.</w:t>
      </w:r>
      <w:r w:rsidRPr="00E9483E">
        <w:rPr>
          <w:rFonts w:ascii="Arial" w:eastAsia="Times New Roman" w:hAnsi="Arial" w:cs="Arial"/>
          <w:color w:val="000000"/>
          <w:sz w:val="20"/>
          <w:szCs w:val="20"/>
          <w:lang w:eastAsia="ru-RU"/>
        </w:rPr>
        <w:t> Следствие воздействий процентных ставок на премию за риск. — www.appraiser.ru</w:t>
      </w:r>
    </w:p>
    <w:p w14:paraId="029D373C" w14:textId="77777777" w:rsidR="00E9483E" w:rsidRPr="00E9483E" w:rsidRDefault="00E9483E" w:rsidP="00E9483E">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9483E">
        <w:rPr>
          <w:rFonts w:ascii="Arial" w:eastAsia="Times New Roman" w:hAnsi="Arial" w:cs="Arial"/>
          <w:color w:val="000000"/>
          <w:sz w:val="20"/>
          <w:szCs w:val="20"/>
          <w:lang w:eastAsia="ru-RU"/>
        </w:rPr>
        <w:t>Примечание.</w:t>
      </w:r>
      <w:r w:rsidRPr="00E9483E">
        <w:rPr>
          <w:rFonts w:ascii="Arial" w:eastAsia="Times New Roman" w:hAnsi="Arial" w:cs="Arial"/>
          <w:color w:val="000000"/>
          <w:sz w:val="20"/>
          <w:szCs w:val="20"/>
          <w:lang w:eastAsia="ru-RU"/>
        </w:rPr>
        <w:br/>
        <w:t>Статья опубликована в журнале «Вопросы оценки» № 3, 2008, стр.30</w:t>
      </w:r>
    </w:p>
    <w:p w14:paraId="487164CC"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83E"/>
    <w:rsid w:val="006C0B77"/>
    <w:rsid w:val="008242FF"/>
    <w:rsid w:val="00870751"/>
    <w:rsid w:val="00922C48"/>
    <w:rsid w:val="00B915B7"/>
    <w:rsid w:val="00E9483E"/>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6D6EF"/>
  <w15:chartTrackingRefBased/>
  <w15:docId w15:val="{CE879522-7D68-415B-A8A0-6418277B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E9483E"/>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483E"/>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E9483E"/>
    <w:pPr>
      <w:spacing w:before="100" w:beforeAutospacing="1" w:after="100" w:afterAutospacing="1"/>
    </w:pPr>
    <w:rPr>
      <w:rFonts w:eastAsia="Times New Roman" w:cs="Times New Roman"/>
      <w:sz w:val="24"/>
      <w:szCs w:val="24"/>
      <w:lang w:eastAsia="ru-RU"/>
    </w:rPr>
  </w:style>
  <w:style w:type="character" w:styleId="a4">
    <w:name w:val="Hyperlink"/>
    <w:basedOn w:val="a0"/>
    <w:uiPriority w:val="99"/>
    <w:semiHidden/>
    <w:unhideWhenUsed/>
    <w:rsid w:val="00E948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12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21" Type="http://schemas.openxmlformats.org/officeDocument/2006/relationships/image" Target="media/image16.gif"/><Relationship Id="rId34" Type="http://schemas.openxmlformats.org/officeDocument/2006/relationships/image" Target="media/image29.gif"/><Relationship Id="rId7" Type="http://schemas.openxmlformats.org/officeDocument/2006/relationships/hyperlink" Target="https://www.ocenchik.ru/vocabulary/s?id=514" TargetMode="Externa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gif"/><Relationship Id="rId20" Type="http://schemas.openxmlformats.org/officeDocument/2006/relationships/image" Target="media/image15.gif"/><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fontTable" Target="fontTable.xml"/><Relationship Id="rId5" Type="http://schemas.openxmlformats.org/officeDocument/2006/relationships/image" Target="media/image1.gif"/><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gif"/><Relationship Id="rId19" Type="http://schemas.openxmlformats.org/officeDocument/2006/relationships/image" Target="media/image14.gif"/><Relationship Id="rId31" Type="http://schemas.openxmlformats.org/officeDocument/2006/relationships/image" Target="media/image26.gif"/><Relationship Id="rId4" Type="http://schemas.openxmlformats.org/officeDocument/2006/relationships/hyperlink" Target="https://www.ocenchik.ru/author/4/fomenko/" TargetMode="Externa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8" Type="http://schemas.openxmlformats.org/officeDocument/2006/relationships/image" Target="media/image3.gif"/><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3020</Words>
  <Characters>17219</Characters>
  <Application>Microsoft Office Word</Application>
  <DocSecurity>0</DocSecurity>
  <Lines>143</Lines>
  <Paragraphs>40</Paragraphs>
  <ScaleCrop>false</ScaleCrop>
  <Company/>
  <LinksUpToDate>false</LinksUpToDate>
  <CharactersWithSpaces>20199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2025-11-25T12:38:00Z</dcterms:created>
  <dcterms:modified xsi:type="dcterms:W3CDTF">2025-11-25T12:38:00Z</dcterms:modified>
</cp:coreProperties>
</file>