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5B90C" w14:textId="77777777" w:rsidR="00C24733" w:rsidRPr="00C24733" w:rsidRDefault="00C24733" w:rsidP="00C24733">
      <w:pPr>
        <w:shd w:val="clear" w:color="auto" w:fill="FFFFFF"/>
        <w:spacing w:before="150" w:after="320"/>
        <w:jc w:val="center"/>
        <w:outlineLvl w:val="0"/>
        <w:rPr>
          <w:rFonts w:ascii="Arial" w:eastAsia="Times New Roman" w:hAnsi="Arial" w:cs="Arial"/>
          <w:b/>
          <w:bCs/>
          <w:color w:val="014783"/>
          <w:kern w:val="36"/>
          <w:sz w:val="24"/>
          <w:szCs w:val="24"/>
          <w:lang w:eastAsia="ru-RU"/>
        </w:rPr>
      </w:pPr>
      <w:bookmarkStart w:id="0" w:name="_GoBack"/>
      <w:bookmarkEnd w:id="0"/>
      <w:r w:rsidRPr="00C24733">
        <w:rPr>
          <w:rFonts w:ascii="Arial" w:eastAsia="Times New Roman" w:hAnsi="Arial" w:cs="Arial"/>
          <w:b/>
          <w:bCs/>
          <w:color w:val="014783"/>
          <w:kern w:val="36"/>
          <w:sz w:val="24"/>
          <w:szCs w:val="24"/>
          <w:lang w:eastAsia="ru-RU"/>
        </w:rPr>
        <w:t>Норма дисконта. определение и классификация</w:t>
      </w:r>
    </w:p>
    <w:p w14:paraId="6008C71E"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1. Общие положения</w:t>
      </w:r>
    </w:p>
    <w:p w14:paraId="4BCBA7DC"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Современные методики оценки экономической эффективности инвестиционных проектов (ИЛ) основаны на учете стоимости денег во времени, т.е. на применении концепции дисконтирования.</w:t>
      </w:r>
    </w:p>
    <w:p w14:paraId="5EF37438"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Дисконтированием денежных потоков называется </w:t>
      </w:r>
      <w:r w:rsidRPr="00C24733">
        <w:rPr>
          <w:rFonts w:ascii="Arial" w:eastAsia="Times New Roman" w:hAnsi="Arial" w:cs="Arial"/>
          <w:color w:val="000000"/>
          <w:sz w:val="20"/>
          <w:szCs w:val="20"/>
          <w:lang w:eastAsia="ru-RU"/>
        </w:rPr>
        <w:t>приведение разновременных (относящихся к разным шагам расчета) значений к их стоимости на определенный момент времени, который называется </w:t>
      </w:r>
      <w:r w:rsidRPr="00C24733">
        <w:rPr>
          <w:rFonts w:ascii="Arial" w:eastAsia="Times New Roman" w:hAnsi="Arial" w:cs="Arial"/>
          <w:b/>
          <w:bCs/>
          <w:color w:val="000000"/>
          <w:sz w:val="20"/>
          <w:szCs w:val="20"/>
          <w:lang w:eastAsia="ru-RU"/>
        </w:rPr>
        <w:t>моментом приведения </w:t>
      </w:r>
      <w:r w:rsidRPr="00C24733">
        <w:rPr>
          <w:rFonts w:ascii="Arial" w:eastAsia="Times New Roman" w:hAnsi="Arial" w:cs="Arial"/>
          <w:color w:val="000000"/>
          <w:sz w:val="20"/>
          <w:szCs w:val="20"/>
          <w:lang w:eastAsia="ru-RU"/>
        </w:rPr>
        <w:t>и обозначается через t°.</w:t>
      </w:r>
    </w:p>
    <w:p w14:paraId="3CBE6541"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Основным экономическим нормативом, используемым при дисконтировании, является </w:t>
      </w:r>
      <w:r w:rsidRPr="00C24733">
        <w:rPr>
          <w:rFonts w:ascii="Arial" w:eastAsia="Times New Roman" w:hAnsi="Arial" w:cs="Arial"/>
          <w:b/>
          <w:bCs/>
          <w:color w:val="000000"/>
          <w:sz w:val="20"/>
          <w:szCs w:val="20"/>
          <w:lang w:eastAsia="ru-RU"/>
        </w:rPr>
        <w:t>норма дисконта </w:t>
      </w:r>
      <w:r w:rsidRPr="00C24733">
        <w:rPr>
          <w:rFonts w:ascii="Arial" w:eastAsia="Times New Roman" w:hAnsi="Arial" w:cs="Arial"/>
          <w:color w:val="000000"/>
          <w:sz w:val="20"/>
          <w:szCs w:val="20"/>
          <w:lang w:eastAsia="ru-RU"/>
        </w:rPr>
        <w:t>(Е), выражаемая в долях единицы или в процентах в год.</w:t>
      </w:r>
    </w:p>
    <w:p w14:paraId="6F3F5171"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Дисконтирование денежного потока на m-м шаге осуществляется путем умножения его значения на </w:t>
      </w:r>
      <w:r w:rsidRPr="00C24733">
        <w:rPr>
          <w:rFonts w:ascii="Arial" w:eastAsia="Times New Roman" w:hAnsi="Arial" w:cs="Arial"/>
          <w:b/>
          <w:bCs/>
          <w:color w:val="000000"/>
          <w:sz w:val="20"/>
          <w:szCs w:val="20"/>
          <w:lang w:eastAsia="ru-RU"/>
        </w:rPr>
        <w:t>коэффициент дисконтирования, </w:t>
      </w:r>
      <w:r w:rsidRPr="00C24733">
        <w:rPr>
          <w:rFonts w:ascii="Arial" w:eastAsia="Times New Roman" w:hAnsi="Arial" w:cs="Arial"/>
          <w:color w:val="000000"/>
          <w:sz w:val="20"/>
          <w:szCs w:val="20"/>
          <w:lang w:eastAsia="ru-RU"/>
        </w:rPr>
        <w:t>рассчитываемый по формуле:</w:t>
      </w:r>
    </w:p>
    <w:p w14:paraId="6B244C4B" w14:textId="3A33B3F9" w:rsidR="00C24733" w:rsidRPr="00C24733" w:rsidRDefault="00C24733" w:rsidP="00C24733">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24733">
        <w:rPr>
          <w:rFonts w:ascii="Arial" w:eastAsia="Times New Roman" w:hAnsi="Arial" w:cs="Arial"/>
          <w:noProof/>
          <w:color w:val="000000"/>
          <w:sz w:val="20"/>
          <w:szCs w:val="20"/>
          <w:lang w:eastAsia="ru-RU"/>
        </w:rPr>
        <w:drawing>
          <wp:inline distT="0" distB="0" distL="0" distR="0" wp14:anchorId="4C8919B4" wp14:editId="49D2E1F8">
            <wp:extent cx="2087880" cy="60960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7880" cy="609600"/>
                    </a:xfrm>
                    <a:prstGeom prst="rect">
                      <a:avLst/>
                    </a:prstGeom>
                    <a:noFill/>
                    <a:ln>
                      <a:noFill/>
                    </a:ln>
                  </pic:spPr>
                </pic:pic>
              </a:graphicData>
            </a:graphic>
          </wp:inline>
        </w:drawing>
      </w:r>
      <w:r w:rsidRPr="00C24733">
        <w:rPr>
          <w:rFonts w:ascii="Arial" w:eastAsia="Times New Roman" w:hAnsi="Arial" w:cs="Arial"/>
          <w:color w:val="000000"/>
          <w:sz w:val="20"/>
          <w:szCs w:val="20"/>
          <w:lang w:eastAsia="ru-RU"/>
        </w:rPr>
        <w:t>  (1)</w:t>
      </w:r>
    </w:p>
    <w:p w14:paraId="6A8FB6FB"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где t</w:t>
      </w:r>
      <w:r w:rsidRPr="00C24733">
        <w:rPr>
          <w:rFonts w:ascii="Arial" w:eastAsia="Times New Roman" w:hAnsi="Arial" w:cs="Arial"/>
          <w:color w:val="000000"/>
          <w:sz w:val="20"/>
          <w:szCs w:val="20"/>
          <w:vertAlign w:val="subscript"/>
          <w:lang w:eastAsia="ru-RU"/>
        </w:rPr>
        <w:t>m</w:t>
      </w:r>
      <w:r w:rsidRPr="00C24733">
        <w:rPr>
          <w:rFonts w:ascii="Arial" w:eastAsia="Times New Roman" w:hAnsi="Arial" w:cs="Arial"/>
          <w:color w:val="000000"/>
          <w:sz w:val="20"/>
          <w:szCs w:val="20"/>
          <w:lang w:eastAsia="ru-RU"/>
        </w:rPr>
        <w:t> - момент окончания m-го шага расчета, Е выражена в долях единицы в год, a t</w:t>
      </w:r>
      <w:r w:rsidRPr="00C24733">
        <w:rPr>
          <w:rFonts w:ascii="Arial" w:eastAsia="Times New Roman" w:hAnsi="Arial" w:cs="Arial"/>
          <w:color w:val="000000"/>
          <w:sz w:val="20"/>
          <w:szCs w:val="20"/>
          <w:vertAlign w:val="subscript"/>
          <w:lang w:eastAsia="ru-RU"/>
        </w:rPr>
        <w:t>m</w:t>
      </w:r>
      <w:r w:rsidRPr="00C24733">
        <w:rPr>
          <w:rFonts w:ascii="Arial" w:eastAsia="Times New Roman" w:hAnsi="Arial" w:cs="Arial"/>
          <w:color w:val="000000"/>
          <w:sz w:val="20"/>
          <w:szCs w:val="20"/>
          <w:lang w:eastAsia="ru-RU"/>
        </w:rPr>
        <w:t>-t° - в годах.</w:t>
      </w:r>
    </w:p>
    <w:p w14:paraId="266B9E04"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Формула (1) справедлива для постоянной нормы дисконта, т.е. когда Е неизменна в течение экономического срока жизни инвестиций или горизонта расчета.</w:t>
      </w:r>
    </w:p>
    <w:p w14:paraId="0999C956"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Норма дисконта </w:t>
      </w:r>
      <w:r w:rsidRPr="00C24733">
        <w:rPr>
          <w:rFonts w:ascii="Arial" w:eastAsia="Times New Roman" w:hAnsi="Arial" w:cs="Arial"/>
          <w:color w:val="000000"/>
          <w:sz w:val="20"/>
          <w:szCs w:val="20"/>
          <w:lang w:eastAsia="ru-RU"/>
        </w:rPr>
        <w:t>(Е) является экзогенно задаваемым основным экономическим нормативом при оценке эффективности инвестиционных проектов.</w:t>
      </w:r>
    </w:p>
    <w:p w14:paraId="6BCD9F76"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В отдельных случаях значение нормы дисконта может выбираться различным для разных шагов расчета (переменная норма дисконта), это может быть целесообразно в случаях:</w:t>
      </w:r>
    </w:p>
    <w:p w14:paraId="4A6B6D0D" w14:textId="77777777" w:rsidR="00C24733" w:rsidRPr="00C24733" w:rsidRDefault="00C24733" w:rsidP="00C24733">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переменного по времени риска;</w:t>
      </w:r>
    </w:p>
    <w:p w14:paraId="164356E1" w14:textId="77777777" w:rsidR="00C24733" w:rsidRPr="00C24733" w:rsidRDefault="00C24733" w:rsidP="00C24733">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переменной по времени структуры капитала;</w:t>
      </w:r>
    </w:p>
    <w:p w14:paraId="3068B055" w14:textId="77777777" w:rsidR="00C24733" w:rsidRPr="00C24733" w:rsidRDefault="00C24733" w:rsidP="00C24733">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переменной по времени ставке процента по кредитам и др.</w:t>
      </w:r>
    </w:p>
    <w:p w14:paraId="3B41885E"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В случае, когда в качестве момента приведения принято начало расчетного периода (t°=0), коэффициент дисконтирования для m-го шага рассчитывается по формуле:</w:t>
      </w:r>
    </w:p>
    <w:p w14:paraId="5C194FAB" w14:textId="12A8191D" w:rsidR="00C24733" w:rsidRPr="00C24733" w:rsidRDefault="00C24733" w:rsidP="00C24733">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24733">
        <w:rPr>
          <w:rFonts w:ascii="Arial" w:eastAsia="Times New Roman" w:hAnsi="Arial" w:cs="Arial"/>
          <w:noProof/>
          <w:color w:val="000000"/>
          <w:sz w:val="20"/>
          <w:szCs w:val="20"/>
          <w:lang w:eastAsia="ru-RU"/>
        </w:rPr>
        <w:drawing>
          <wp:inline distT="0" distB="0" distL="0" distR="0" wp14:anchorId="42ABF8B7" wp14:editId="684AA4FB">
            <wp:extent cx="2895600" cy="647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647700"/>
                    </a:xfrm>
                    <a:prstGeom prst="rect">
                      <a:avLst/>
                    </a:prstGeom>
                    <a:noFill/>
                    <a:ln>
                      <a:noFill/>
                    </a:ln>
                  </pic:spPr>
                </pic:pic>
              </a:graphicData>
            </a:graphic>
          </wp:inline>
        </w:drawing>
      </w:r>
      <w:r w:rsidRPr="00C24733">
        <w:rPr>
          <w:rFonts w:ascii="Arial" w:eastAsia="Times New Roman" w:hAnsi="Arial" w:cs="Arial"/>
          <w:color w:val="000000"/>
          <w:sz w:val="20"/>
          <w:szCs w:val="20"/>
          <w:lang w:eastAsia="ru-RU"/>
        </w:rPr>
        <w:t>  (2)</w:t>
      </w:r>
    </w:p>
    <w:p w14:paraId="521244F0"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где </w:t>
      </w:r>
      <w:r w:rsidRPr="00C24733">
        <w:rPr>
          <w:rFonts w:ascii="Arial" w:eastAsia="Times New Roman" w:hAnsi="Arial" w:cs="Arial"/>
          <w:i/>
          <w:iCs/>
          <w:color w:val="000000"/>
          <w:sz w:val="20"/>
          <w:szCs w:val="20"/>
          <w:lang w:eastAsia="ru-RU"/>
        </w:rPr>
        <w:t>Е</w:t>
      </w:r>
      <w:r w:rsidRPr="00C24733">
        <w:rPr>
          <w:rFonts w:ascii="Arial" w:eastAsia="Times New Roman" w:hAnsi="Arial" w:cs="Arial"/>
          <w:i/>
          <w:iCs/>
          <w:color w:val="000000"/>
          <w:sz w:val="20"/>
          <w:szCs w:val="20"/>
          <w:vertAlign w:val="subscript"/>
          <w:lang w:eastAsia="ru-RU"/>
        </w:rPr>
        <w:t>0</w:t>
      </w:r>
      <w:r w:rsidRPr="00C24733">
        <w:rPr>
          <w:rFonts w:ascii="Arial" w:eastAsia="Times New Roman" w:hAnsi="Arial" w:cs="Arial"/>
          <w:i/>
          <w:iCs/>
          <w:color w:val="000000"/>
          <w:sz w:val="20"/>
          <w:szCs w:val="20"/>
          <w:lang w:eastAsia="ru-RU"/>
        </w:rPr>
        <w:t>,..., Е</w:t>
      </w:r>
      <w:r w:rsidRPr="00C24733">
        <w:rPr>
          <w:rFonts w:ascii="Arial" w:eastAsia="Times New Roman" w:hAnsi="Arial" w:cs="Arial"/>
          <w:i/>
          <w:iCs/>
          <w:color w:val="000000"/>
          <w:sz w:val="20"/>
          <w:szCs w:val="20"/>
          <w:vertAlign w:val="subscript"/>
          <w:lang w:eastAsia="ru-RU"/>
        </w:rPr>
        <w:t>m</w:t>
      </w:r>
      <w:r w:rsidRPr="00C24733">
        <w:rPr>
          <w:rFonts w:ascii="Arial" w:eastAsia="Times New Roman" w:hAnsi="Arial" w:cs="Arial"/>
          <w:color w:val="000000"/>
          <w:sz w:val="20"/>
          <w:szCs w:val="20"/>
          <w:lang w:eastAsia="ru-RU"/>
        </w:rPr>
        <w:t> - норма дисконта соответственно на 0-м,... m-м шагах,</w:t>
      </w:r>
      <w:r w:rsidRPr="00C24733">
        <w:rPr>
          <w:rFonts w:ascii="Arial" w:eastAsia="Times New Roman" w:hAnsi="Arial" w:cs="Arial"/>
          <w:color w:val="000000"/>
          <w:sz w:val="20"/>
          <w:szCs w:val="20"/>
          <w:lang w:eastAsia="ru-RU"/>
        </w:rPr>
        <w:br/>
        <w:t>Δ</w:t>
      </w:r>
      <w:r w:rsidRPr="00C24733">
        <w:rPr>
          <w:rFonts w:ascii="Arial" w:eastAsia="Times New Roman" w:hAnsi="Arial" w:cs="Arial"/>
          <w:color w:val="000000"/>
          <w:sz w:val="20"/>
          <w:szCs w:val="20"/>
          <w:vertAlign w:val="subscript"/>
          <w:lang w:eastAsia="ru-RU"/>
        </w:rPr>
        <w:t>0</w:t>
      </w:r>
      <w:r w:rsidRPr="00C24733">
        <w:rPr>
          <w:rFonts w:ascii="Arial" w:eastAsia="Times New Roman" w:hAnsi="Arial" w:cs="Arial"/>
          <w:color w:val="000000"/>
          <w:sz w:val="20"/>
          <w:szCs w:val="20"/>
          <w:lang w:eastAsia="ru-RU"/>
        </w:rPr>
        <w:t>,..., Δ</w:t>
      </w:r>
      <w:r w:rsidRPr="00C24733">
        <w:rPr>
          <w:rFonts w:ascii="Arial" w:eastAsia="Times New Roman" w:hAnsi="Arial" w:cs="Arial"/>
          <w:color w:val="000000"/>
          <w:sz w:val="20"/>
          <w:szCs w:val="20"/>
          <w:vertAlign w:val="subscript"/>
          <w:lang w:eastAsia="ru-RU"/>
        </w:rPr>
        <w:t>m</w:t>
      </w:r>
      <w:r w:rsidRPr="00C24733">
        <w:rPr>
          <w:rFonts w:ascii="Arial" w:eastAsia="Times New Roman" w:hAnsi="Arial" w:cs="Arial"/>
          <w:color w:val="000000"/>
          <w:sz w:val="20"/>
          <w:szCs w:val="20"/>
          <w:lang w:eastAsia="ru-RU"/>
        </w:rPr>
        <w:t> - длительность этих шагов в годах или долях года.</w:t>
      </w:r>
    </w:p>
    <w:p w14:paraId="21EB81A8"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Трактовка понятия </w:t>
      </w:r>
      <w:r w:rsidRPr="00C24733">
        <w:rPr>
          <w:rFonts w:ascii="Arial" w:eastAsia="Times New Roman" w:hAnsi="Arial" w:cs="Arial"/>
          <w:b/>
          <w:bCs/>
          <w:color w:val="000000"/>
          <w:sz w:val="20"/>
          <w:szCs w:val="20"/>
          <w:lang w:eastAsia="ru-RU"/>
        </w:rPr>
        <w:t>норма дисконта </w:t>
      </w:r>
      <w:r w:rsidRPr="00C24733">
        <w:rPr>
          <w:rFonts w:ascii="Arial" w:eastAsia="Times New Roman" w:hAnsi="Arial" w:cs="Arial"/>
          <w:color w:val="000000"/>
          <w:sz w:val="20"/>
          <w:szCs w:val="20"/>
          <w:lang w:eastAsia="ru-RU"/>
        </w:rPr>
        <w:t>в различных источниках различна. Ниже приведены некоторые из них.</w:t>
      </w:r>
    </w:p>
    <w:p w14:paraId="62D9D508"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lastRenderedPageBreak/>
        <w:t>Норма дисконта </w:t>
      </w:r>
      <w:r w:rsidRPr="00C24733">
        <w:rPr>
          <w:rFonts w:ascii="Arial" w:eastAsia="Times New Roman" w:hAnsi="Arial" w:cs="Arial"/>
          <w:color w:val="000000"/>
          <w:sz w:val="20"/>
          <w:szCs w:val="20"/>
          <w:lang w:eastAsia="ru-RU"/>
        </w:rPr>
        <w:t>устанавливается аналитиком (инвестором) самостоятельно исходя из ежегодного процента возврата, который он хочет или может иметь на инвестируемый им капитал[4,5].</w:t>
      </w:r>
    </w:p>
    <w:p w14:paraId="59CE8D4A"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Норма дисконта </w:t>
      </w:r>
      <w:r w:rsidRPr="00C24733">
        <w:rPr>
          <w:rFonts w:ascii="Arial" w:eastAsia="Times New Roman" w:hAnsi="Arial" w:cs="Arial"/>
          <w:color w:val="000000"/>
          <w:sz w:val="20"/>
          <w:szCs w:val="20"/>
          <w:lang w:eastAsia="ru-RU"/>
        </w:rPr>
        <w:t>(Rete of Discount) - с экономической точки зрения это норма прибыли, которую инвестор обычно получает от инвестиций аналогичного содержания и степени риска. Таким образом, это ожидаемая инвестором норма прибыли (Opportunity Rate of Return) [2].</w:t>
      </w:r>
    </w:p>
    <w:p w14:paraId="640F339C"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Норма дисконта </w:t>
      </w:r>
      <w:r w:rsidRPr="00C24733">
        <w:rPr>
          <w:rFonts w:ascii="Arial" w:eastAsia="Times New Roman" w:hAnsi="Arial" w:cs="Arial"/>
          <w:color w:val="000000"/>
          <w:sz w:val="20"/>
          <w:szCs w:val="20"/>
          <w:lang w:eastAsia="ru-RU"/>
        </w:rPr>
        <w:t>обозначает тот уровень дохода, который мы реально можем себе обеспечить, вложив средства в доступный для нас проект инвестирования^].</w:t>
      </w:r>
    </w:p>
    <w:p w14:paraId="363BDECF"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Норма дисконта </w:t>
      </w:r>
      <w:r w:rsidRPr="00C24733">
        <w:rPr>
          <w:rFonts w:ascii="Arial" w:eastAsia="Times New Roman" w:hAnsi="Arial" w:cs="Arial"/>
          <w:color w:val="000000"/>
          <w:sz w:val="20"/>
          <w:szCs w:val="20"/>
          <w:lang w:eastAsia="ru-RU"/>
        </w:rPr>
        <w:t>- это желаемая норма прибыльности (рентабельности) т.е. тот уровень доходности инвестируемых средств, который может быть обеспечен при помещении их в общедоступные финансовые механизмы (банки, финансовые компании и т.п.), а не использовании на данный инвестиционный проект. Иными словами, Е - это цена выбора (альтернативная стоимость) коммерческой стратегии, предполагающей вложение денежных средств в инвестиционный проект [6].</w:t>
      </w:r>
    </w:p>
    <w:p w14:paraId="31DF7DB2"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Норма дисконта </w:t>
      </w:r>
      <w:r w:rsidRPr="00C24733">
        <w:rPr>
          <w:rFonts w:ascii="Arial" w:eastAsia="Times New Roman" w:hAnsi="Arial" w:cs="Arial"/>
          <w:color w:val="000000"/>
          <w:sz w:val="20"/>
          <w:szCs w:val="20"/>
          <w:lang w:eastAsia="ru-RU"/>
        </w:rPr>
        <w:t>в общем случае отражает скорректированную с учетом инфляции минимально приемлемую для инвестора доходность вложенного капитала при альтернативных и доступных на рынке безрисковых направлениях вложений [7].</w:t>
      </w:r>
    </w:p>
    <w:p w14:paraId="65E5EEFA"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Анализируя, приведенные выше трактовки понятия </w:t>
      </w:r>
      <w:r w:rsidRPr="00C24733">
        <w:rPr>
          <w:rFonts w:ascii="Arial" w:eastAsia="Times New Roman" w:hAnsi="Arial" w:cs="Arial"/>
          <w:b/>
          <w:bCs/>
          <w:color w:val="000000"/>
          <w:sz w:val="20"/>
          <w:szCs w:val="20"/>
          <w:lang w:eastAsia="ru-RU"/>
        </w:rPr>
        <w:t>норма дисконта </w:t>
      </w:r>
      <w:r w:rsidRPr="00C24733">
        <w:rPr>
          <w:rFonts w:ascii="Arial" w:eastAsia="Times New Roman" w:hAnsi="Arial" w:cs="Arial"/>
          <w:color w:val="000000"/>
          <w:sz w:val="20"/>
          <w:szCs w:val="20"/>
          <w:lang w:eastAsia="ru-RU"/>
        </w:rPr>
        <w:t>можно выделить два подхода:</w:t>
      </w:r>
    </w:p>
    <w:p w14:paraId="410DDA71" w14:textId="77777777" w:rsidR="00C24733" w:rsidRPr="00C24733" w:rsidRDefault="00C24733" w:rsidP="00C24733">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норма дисконта это тот уровень доходности инвестируемых средств, который может быть обеспечен при помещении их в общедоступные финансовые механизмы (банки, финансовые компании и т.п.), а не использованы на данный инвестиционный проект;</w:t>
      </w:r>
    </w:p>
    <w:p w14:paraId="4B81F0ED" w14:textId="77777777" w:rsidR="00C24733" w:rsidRPr="00C24733" w:rsidRDefault="00C24733" w:rsidP="00C24733">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норма дисконта устанавливается инвестором самостоятельно исходя из нормы, которую он хочет получить на инвестируемый им капитал.</w:t>
      </w:r>
    </w:p>
    <w:p w14:paraId="53047FB3"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Оба подхода верны, но их применение зависит от этапа экономической оценки инвестиции [7]:</w:t>
      </w:r>
    </w:p>
    <w:p w14:paraId="6EA3DA6E"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1-й этап оценки эффективности «для проекта в целом»; 2-й этап оценки эффективности инвестиционного проекта «для участников проекта». Наиболее обобщенная трактовка нормы дисконта, с нашей точки зрения, приведена в [2]. Норма дисконта это ожидаемая инвестором норма прибыли на вложенный капитал.</w:t>
      </w:r>
    </w:p>
    <w:p w14:paraId="1EFF9716"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i/>
          <w:iCs/>
          <w:color w:val="000000"/>
          <w:sz w:val="20"/>
          <w:szCs w:val="20"/>
          <w:lang w:eastAsia="ru-RU"/>
        </w:rPr>
        <w:t>2. Основные факторы влияющие на выбор нормы дисконта.</w:t>
      </w:r>
    </w:p>
    <w:p w14:paraId="4E53FAD6"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2.1. Виды эффективности инвестиционных проектов </w:t>
      </w:r>
      <w:r w:rsidRPr="00C24733">
        <w:rPr>
          <w:rFonts w:ascii="Arial" w:eastAsia="Times New Roman" w:hAnsi="Arial" w:cs="Arial"/>
          <w:color w:val="000000"/>
          <w:sz w:val="20"/>
          <w:szCs w:val="20"/>
          <w:lang w:eastAsia="ru-RU"/>
        </w:rPr>
        <w:t>В соответствии с [7] рекомендуется оценивать следующие виды эффективности (рис. 1).</w:t>
      </w:r>
    </w:p>
    <w:p w14:paraId="06CAC767" w14:textId="1988366F" w:rsidR="00C24733" w:rsidRPr="00C24733" w:rsidRDefault="00C24733" w:rsidP="00C24733">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24733">
        <w:rPr>
          <w:rFonts w:ascii="Arial" w:eastAsia="Times New Roman" w:hAnsi="Arial" w:cs="Arial"/>
          <w:noProof/>
          <w:color w:val="000000"/>
          <w:sz w:val="20"/>
          <w:szCs w:val="20"/>
          <w:lang w:eastAsia="ru-RU"/>
        </w:rPr>
        <w:lastRenderedPageBreak/>
        <w:drawing>
          <wp:inline distT="0" distB="0" distL="0" distR="0" wp14:anchorId="5A7154A7" wp14:editId="79ED23ED">
            <wp:extent cx="5939790" cy="2226310"/>
            <wp:effectExtent l="0" t="0" r="3810" b="2540"/>
            <wp:docPr id="3" name="Рисунок 3" descr="Виды эффективности инвестиционных проек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Виды эффективности инвестиционных проектов"/>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2226310"/>
                    </a:xfrm>
                    <a:prstGeom prst="rect">
                      <a:avLst/>
                    </a:prstGeom>
                    <a:noFill/>
                    <a:ln>
                      <a:noFill/>
                    </a:ln>
                  </pic:spPr>
                </pic:pic>
              </a:graphicData>
            </a:graphic>
          </wp:inline>
        </w:drawing>
      </w:r>
    </w:p>
    <w:p w14:paraId="2C505DDC" w14:textId="77777777" w:rsidR="00C24733" w:rsidRPr="00C24733" w:rsidRDefault="00C24733" w:rsidP="00C24733">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24733">
        <w:rPr>
          <w:rFonts w:ascii="Arial" w:eastAsia="Times New Roman" w:hAnsi="Arial" w:cs="Arial"/>
          <w:i/>
          <w:iCs/>
          <w:color w:val="000000"/>
          <w:sz w:val="20"/>
          <w:szCs w:val="20"/>
          <w:lang w:eastAsia="ru-RU"/>
        </w:rPr>
        <w:t>Рис. 1. Виды эффективности инвестиционных проектов</w:t>
      </w:r>
    </w:p>
    <w:p w14:paraId="222D978B"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Эффективность проекта в целом </w:t>
      </w:r>
      <w:r w:rsidRPr="00C24733">
        <w:rPr>
          <w:rFonts w:ascii="Arial" w:eastAsia="Times New Roman" w:hAnsi="Arial" w:cs="Arial"/>
          <w:color w:val="000000"/>
          <w:sz w:val="20"/>
          <w:szCs w:val="20"/>
          <w:lang w:eastAsia="ru-RU"/>
        </w:rPr>
        <w:t>оценивается с целью определения потенциальной привлекательности проекта для возможных участников и поисков источников финансирования. Она включает в себя:</w:t>
      </w:r>
    </w:p>
    <w:p w14:paraId="4A1B6213" w14:textId="77777777" w:rsidR="00C24733" w:rsidRPr="00C24733" w:rsidRDefault="00C24733" w:rsidP="00C24733">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общественную </w:t>
      </w:r>
      <w:r w:rsidRPr="00C24733">
        <w:rPr>
          <w:rFonts w:ascii="Arial" w:eastAsia="Times New Roman" w:hAnsi="Arial" w:cs="Arial"/>
          <w:color w:val="000000"/>
          <w:sz w:val="20"/>
          <w:szCs w:val="20"/>
          <w:lang w:eastAsia="ru-RU"/>
        </w:rPr>
        <w:t>(социально-экономическую) эффективность проекта:</w:t>
      </w:r>
    </w:p>
    <w:p w14:paraId="178E3DAF" w14:textId="77777777" w:rsidR="00C24733" w:rsidRPr="00C24733" w:rsidRDefault="00C24733" w:rsidP="00C24733">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коммерческую </w:t>
      </w:r>
      <w:r w:rsidRPr="00C24733">
        <w:rPr>
          <w:rFonts w:ascii="Arial" w:eastAsia="Times New Roman" w:hAnsi="Arial" w:cs="Arial"/>
          <w:color w:val="000000"/>
          <w:sz w:val="20"/>
          <w:szCs w:val="20"/>
          <w:lang w:eastAsia="ru-RU"/>
        </w:rPr>
        <w:t>эффективность проекта.</w:t>
      </w:r>
    </w:p>
    <w:p w14:paraId="46E120B1"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Показатели </w:t>
      </w:r>
      <w:r w:rsidRPr="00C24733">
        <w:rPr>
          <w:rFonts w:ascii="Arial" w:eastAsia="Times New Roman" w:hAnsi="Arial" w:cs="Arial"/>
          <w:b/>
          <w:bCs/>
          <w:color w:val="000000"/>
          <w:sz w:val="20"/>
          <w:szCs w:val="20"/>
          <w:lang w:eastAsia="ru-RU"/>
        </w:rPr>
        <w:t>общественной эффективности </w:t>
      </w:r>
      <w:r w:rsidRPr="00C24733">
        <w:rPr>
          <w:rFonts w:ascii="Arial" w:eastAsia="Times New Roman" w:hAnsi="Arial" w:cs="Arial"/>
          <w:color w:val="000000"/>
          <w:sz w:val="20"/>
          <w:szCs w:val="20"/>
          <w:lang w:eastAsia="ru-RU"/>
        </w:rPr>
        <w:t>учитывают социально-экономические последствия осуществления ИП для общества в целом.</w:t>
      </w:r>
    </w:p>
    <w:p w14:paraId="45AFF008"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Показатели </w:t>
      </w:r>
      <w:r w:rsidRPr="00C24733">
        <w:rPr>
          <w:rFonts w:ascii="Arial" w:eastAsia="Times New Roman" w:hAnsi="Arial" w:cs="Arial"/>
          <w:b/>
          <w:bCs/>
          <w:color w:val="000000"/>
          <w:sz w:val="20"/>
          <w:szCs w:val="20"/>
          <w:lang w:eastAsia="ru-RU"/>
        </w:rPr>
        <w:t>коммерческой эффективности </w:t>
      </w:r>
      <w:r w:rsidRPr="00C24733">
        <w:rPr>
          <w:rFonts w:ascii="Arial" w:eastAsia="Times New Roman" w:hAnsi="Arial" w:cs="Arial"/>
          <w:color w:val="000000"/>
          <w:sz w:val="20"/>
          <w:szCs w:val="20"/>
          <w:lang w:eastAsia="ru-RU"/>
        </w:rPr>
        <w:t>проекта учитывают финансовые последствия его осуществления для единственного устроителя ИП, в предположении, что он производит все необходимые для реализации проекта затраты и пользуется всеми его результатами.</w:t>
      </w:r>
    </w:p>
    <w:p w14:paraId="0998328F"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Эффективность участия в проекте </w:t>
      </w:r>
      <w:r w:rsidRPr="00C24733">
        <w:rPr>
          <w:rFonts w:ascii="Arial" w:eastAsia="Times New Roman" w:hAnsi="Arial" w:cs="Arial"/>
          <w:color w:val="000000"/>
          <w:sz w:val="20"/>
          <w:szCs w:val="20"/>
          <w:lang w:eastAsia="ru-RU"/>
        </w:rPr>
        <w:t>определяется с целью проверки реализуемости ИП и заинтересованности в нем всех его участников, (см. рис. 1.).</w:t>
      </w:r>
    </w:p>
    <w:p w14:paraId="2ED84EA6"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В соответствии с изложенным выше различаются следующие нормы дисконта: </w:t>
      </w:r>
      <w:r w:rsidRPr="00C24733">
        <w:rPr>
          <w:rFonts w:ascii="Arial" w:eastAsia="Times New Roman" w:hAnsi="Arial" w:cs="Arial"/>
          <w:b/>
          <w:bCs/>
          <w:color w:val="000000"/>
          <w:sz w:val="20"/>
          <w:szCs w:val="20"/>
          <w:lang w:eastAsia="ru-RU"/>
        </w:rPr>
        <w:t>коммерческая, участника проекта, социальная и бюджетная.</w:t>
      </w:r>
    </w:p>
    <w:p w14:paraId="3B4E00B6"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2.2. Способ учета риска при оценке эффективности ИП</w:t>
      </w:r>
    </w:p>
    <w:p w14:paraId="3A7E07C1"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Учет неопределенности и риска при оценке эффективности ИП производится двумя основными способами:</w:t>
      </w:r>
    </w:p>
    <w:p w14:paraId="0FFC5574" w14:textId="77777777" w:rsidR="00C24733" w:rsidRPr="00C24733" w:rsidRDefault="00C24733" w:rsidP="00C24733">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разработкой представительного множества сценариев реализации проекта или другим корректным методом;</w:t>
      </w:r>
    </w:p>
    <w:p w14:paraId="5E66EA8D" w14:textId="77777777" w:rsidR="00C24733" w:rsidRPr="00C24733" w:rsidRDefault="00C24733" w:rsidP="00C24733">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включением премии на риск в норму дисконта (обычно при единственном сценарии реализации ИП). В первом случае при расчетах чистой текущей стоимости (npv) используется </w:t>
      </w:r>
      <w:r w:rsidRPr="00C24733">
        <w:rPr>
          <w:rFonts w:ascii="Arial" w:eastAsia="Times New Roman" w:hAnsi="Arial" w:cs="Arial"/>
          <w:b/>
          <w:bCs/>
          <w:color w:val="000000"/>
          <w:sz w:val="20"/>
          <w:szCs w:val="20"/>
          <w:lang w:eastAsia="ru-RU"/>
        </w:rPr>
        <w:t>безрисковая   норма   дисконта,   </w:t>
      </w:r>
      <w:r w:rsidRPr="00C24733">
        <w:rPr>
          <w:rFonts w:ascii="Arial" w:eastAsia="Times New Roman" w:hAnsi="Arial" w:cs="Arial"/>
          <w:color w:val="000000"/>
          <w:sz w:val="20"/>
          <w:szCs w:val="20"/>
          <w:lang w:eastAsia="ru-RU"/>
        </w:rPr>
        <w:t>отражающая   доходность   альтернативных безрисковых направлений инвестирования.</w:t>
      </w:r>
    </w:p>
    <w:p w14:paraId="2D4111E5"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Во втором случае используется норма дисконта с поправкой на риск, которую можно определить по формуле фишера [3]:</w:t>
      </w:r>
    </w:p>
    <w:p w14:paraId="34583C88" w14:textId="77777777" w:rsidR="00C24733" w:rsidRPr="00C24733" w:rsidRDefault="00C24733" w:rsidP="00C24733">
      <w:pPr>
        <w:shd w:val="clear" w:color="auto" w:fill="FFFFFF"/>
        <w:spacing w:before="100" w:beforeAutospacing="1" w:after="100" w:afterAutospacing="1"/>
        <w:jc w:val="center"/>
        <w:outlineLvl w:val="2"/>
        <w:rPr>
          <w:rFonts w:ascii="Arial" w:eastAsia="Times New Roman" w:hAnsi="Arial" w:cs="Arial"/>
          <w:b/>
          <w:bCs/>
          <w:color w:val="000000"/>
          <w:sz w:val="27"/>
          <w:szCs w:val="27"/>
          <w:lang w:eastAsia="ru-RU"/>
        </w:rPr>
      </w:pPr>
      <w:r w:rsidRPr="00C24733">
        <w:rPr>
          <w:rFonts w:ascii="Arial" w:eastAsia="Times New Roman" w:hAnsi="Arial" w:cs="Arial"/>
          <w:b/>
          <w:bCs/>
          <w:color w:val="000000"/>
          <w:sz w:val="27"/>
          <w:szCs w:val="27"/>
          <w:lang w:eastAsia="ru-RU"/>
        </w:rPr>
        <w:t>1</w:t>
      </w:r>
      <w:r w:rsidRPr="00C24733">
        <w:rPr>
          <w:rFonts w:ascii="Arial" w:eastAsia="Times New Roman" w:hAnsi="Arial" w:cs="Arial"/>
          <w:b/>
          <w:bCs/>
          <w:i/>
          <w:iCs/>
          <w:color w:val="000000"/>
          <w:sz w:val="27"/>
          <w:szCs w:val="27"/>
          <w:lang w:eastAsia="ru-RU"/>
        </w:rPr>
        <w:t> + E =(</w:t>
      </w:r>
      <w:r w:rsidRPr="00C24733">
        <w:rPr>
          <w:rFonts w:ascii="Arial" w:eastAsia="Times New Roman" w:hAnsi="Arial" w:cs="Arial"/>
          <w:b/>
          <w:bCs/>
          <w:color w:val="000000"/>
          <w:sz w:val="27"/>
          <w:szCs w:val="27"/>
          <w:lang w:eastAsia="ru-RU"/>
        </w:rPr>
        <w:t>1</w:t>
      </w:r>
      <w:r w:rsidRPr="00C24733">
        <w:rPr>
          <w:rFonts w:ascii="Arial" w:eastAsia="Times New Roman" w:hAnsi="Arial" w:cs="Arial"/>
          <w:b/>
          <w:bCs/>
          <w:i/>
          <w:iCs/>
          <w:color w:val="000000"/>
          <w:sz w:val="27"/>
          <w:szCs w:val="27"/>
          <w:lang w:eastAsia="ru-RU"/>
        </w:rPr>
        <w:t>+P)-(</w:t>
      </w:r>
      <w:r w:rsidRPr="00C24733">
        <w:rPr>
          <w:rFonts w:ascii="Arial" w:eastAsia="Times New Roman" w:hAnsi="Arial" w:cs="Arial"/>
          <w:b/>
          <w:bCs/>
          <w:color w:val="000000"/>
          <w:sz w:val="27"/>
          <w:szCs w:val="27"/>
          <w:lang w:eastAsia="ru-RU"/>
        </w:rPr>
        <w:t>1</w:t>
      </w:r>
      <w:r w:rsidRPr="00C24733">
        <w:rPr>
          <w:rFonts w:ascii="Arial" w:eastAsia="Times New Roman" w:hAnsi="Arial" w:cs="Arial"/>
          <w:b/>
          <w:bCs/>
          <w:i/>
          <w:iCs/>
          <w:color w:val="000000"/>
          <w:sz w:val="27"/>
          <w:szCs w:val="27"/>
          <w:lang w:eastAsia="ru-RU"/>
        </w:rPr>
        <w:t>+RP),</w:t>
      </w:r>
      <w:r w:rsidRPr="00C24733">
        <w:rPr>
          <w:rFonts w:ascii="Arial" w:eastAsia="Times New Roman" w:hAnsi="Arial" w:cs="Arial"/>
          <w:b/>
          <w:bCs/>
          <w:color w:val="000000"/>
          <w:sz w:val="27"/>
          <w:szCs w:val="27"/>
          <w:lang w:eastAsia="ru-RU"/>
        </w:rPr>
        <w:t>   (3)</w:t>
      </w:r>
    </w:p>
    <w:p w14:paraId="38170C0B"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lastRenderedPageBreak/>
        <w:t>где р - доходность альтернативных безрисковых направлений инвестирования, Rp - risk premium («премия за риск»).</w:t>
      </w:r>
    </w:p>
    <w:p w14:paraId="6735C548"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В величине поправки на риск в общем случае учитываются три типа рисков, связанных с реализацией ип:</w:t>
      </w:r>
    </w:p>
    <w:p w14:paraId="14DE3958" w14:textId="77777777" w:rsidR="00C24733" w:rsidRPr="00C24733" w:rsidRDefault="00C24733" w:rsidP="00C24733">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страновой риск;</w:t>
      </w:r>
    </w:p>
    <w:p w14:paraId="2C4AA4CF" w14:textId="77777777" w:rsidR="00C24733" w:rsidRPr="00C24733" w:rsidRDefault="00C24733" w:rsidP="00C24733">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риск ненадежности участников проекта;</w:t>
      </w:r>
    </w:p>
    <w:p w14:paraId="46A169BF" w14:textId="77777777" w:rsidR="00C24733" w:rsidRPr="00C24733" w:rsidRDefault="00C24733" w:rsidP="00C24733">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риск не получения предусмотренных проектом доходов. [1,7].</w:t>
      </w:r>
    </w:p>
    <w:p w14:paraId="3962A857"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2.3. Способ учета инфляции при оценке эффективности ИП</w:t>
      </w:r>
    </w:p>
    <w:p w14:paraId="18E0F749"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При оценке эффективности ип денежные потоки могут выражаться в текущих, прогнозных и дефлированных ценах. [7]</w:t>
      </w:r>
    </w:p>
    <w:p w14:paraId="097B71A8"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Текущие цены </w:t>
      </w:r>
      <w:r w:rsidRPr="00C24733">
        <w:rPr>
          <w:rFonts w:ascii="Arial" w:eastAsia="Times New Roman" w:hAnsi="Arial" w:cs="Arial"/>
          <w:color w:val="000000"/>
          <w:sz w:val="20"/>
          <w:szCs w:val="20"/>
          <w:lang w:eastAsia="ru-RU"/>
        </w:rPr>
        <w:t>- это цены заложенные в проект без учета инфляции.</w:t>
      </w:r>
    </w:p>
    <w:p w14:paraId="5FC3EE1B"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Прогнозные цены </w:t>
      </w:r>
      <w:r w:rsidRPr="00C24733">
        <w:rPr>
          <w:rFonts w:ascii="Arial" w:eastAsia="Times New Roman" w:hAnsi="Arial" w:cs="Arial"/>
          <w:color w:val="000000"/>
          <w:sz w:val="20"/>
          <w:szCs w:val="20"/>
          <w:lang w:eastAsia="ru-RU"/>
        </w:rPr>
        <w:t>- это цены с учетом инфляции.</w:t>
      </w:r>
    </w:p>
    <w:p w14:paraId="7A9264DC"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Дефлированные цены </w:t>
      </w:r>
      <w:r w:rsidRPr="00C24733">
        <w:rPr>
          <w:rFonts w:ascii="Arial" w:eastAsia="Times New Roman" w:hAnsi="Arial" w:cs="Arial"/>
          <w:color w:val="000000"/>
          <w:sz w:val="20"/>
          <w:szCs w:val="20"/>
          <w:lang w:eastAsia="ru-RU"/>
        </w:rPr>
        <w:t>- это прогнозируемые цены, приведенные к уровню цен фиксированного момента времени путем деления на общий базисный индекс инфляции.</w:t>
      </w:r>
    </w:p>
    <w:p w14:paraId="5D345111"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При расчетах npv в прогнозных и дефлированных ценах применяется норма дисконта без поправки на инфляцию.</w:t>
      </w:r>
    </w:p>
    <w:p w14:paraId="3B16F0D6"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В случае расчета npv в текущих ценах рекомендуется [3] вводить в норму дисконта поправку на инфляцию.</w:t>
      </w:r>
    </w:p>
    <w:p w14:paraId="7A221EA6"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Норму дисконта с поправками на риск и инфляцию можно рассчитать по формуле фишера [3]:</w:t>
      </w:r>
    </w:p>
    <w:p w14:paraId="09FECF81" w14:textId="77777777" w:rsidR="00C24733" w:rsidRPr="00C24733" w:rsidRDefault="00C24733" w:rsidP="00C24733">
      <w:pPr>
        <w:shd w:val="clear" w:color="auto" w:fill="FFFFFF"/>
        <w:spacing w:before="100" w:beforeAutospacing="1" w:after="100" w:afterAutospacing="1"/>
        <w:jc w:val="center"/>
        <w:outlineLvl w:val="2"/>
        <w:rPr>
          <w:rFonts w:ascii="Arial" w:eastAsia="Times New Roman" w:hAnsi="Arial" w:cs="Arial"/>
          <w:b/>
          <w:bCs/>
          <w:color w:val="000000"/>
          <w:sz w:val="27"/>
          <w:szCs w:val="27"/>
          <w:lang w:eastAsia="ru-RU"/>
        </w:rPr>
      </w:pPr>
      <w:r w:rsidRPr="00C24733">
        <w:rPr>
          <w:rFonts w:ascii="Arial" w:eastAsia="Times New Roman" w:hAnsi="Arial" w:cs="Arial"/>
          <w:b/>
          <w:bCs/>
          <w:color w:val="000000"/>
          <w:sz w:val="27"/>
          <w:szCs w:val="27"/>
          <w:lang w:eastAsia="ru-RU"/>
        </w:rPr>
        <w:t>1 </w:t>
      </w:r>
      <w:r w:rsidRPr="00C24733">
        <w:rPr>
          <w:rFonts w:ascii="Arial" w:eastAsia="Times New Roman" w:hAnsi="Arial" w:cs="Arial"/>
          <w:b/>
          <w:bCs/>
          <w:i/>
          <w:iCs/>
          <w:color w:val="000000"/>
          <w:sz w:val="27"/>
          <w:szCs w:val="27"/>
          <w:lang w:eastAsia="ru-RU"/>
        </w:rPr>
        <w:t>+ Е = (</w:t>
      </w:r>
      <w:r w:rsidRPr="00C24733">
        <w:rPr>
          <w:rFonts w:ascii="Arial" w:eastAsia="Times New Roman" w:hAnsi="Arial" w:cs="Arial"/>
          <w:b/>
          <w:bCs/>
          <w:color w:val="000000"/>
          <w:sz w:val="27"/>
          <w:szCs w:val="27"/>
          <w:lang w:eastAsia="ru-RU"/>
        </w:rPr>
        <w:t>1</w:t>
      </w:r>
      <w:r w:rsidRPr="00C24733">
        <w:rPr>
          <w:rFonts w:ascii="Arial" w:eastAsia="Times New Roman" w:hAnsi="Arial" w:cs="Arial"/>
          <w:b/>
          <w:bCs/>
          <w:i/>
          <w:iCs/>
          <w:color w:val="000000"/>
          <w:sz w:val="27"/>
          <w:szCs w:val="27"/>
          <w:lang w:eastAsia="ru-RU"/>
        </w:rPr>
        <w:t> + Р)(</w:t>
      </w:r>
      <w:r w:rsidRPr="00C24733">
        <w:rPr>
          <w:rFonts w:ascii="Arial" w:eastAsia="Times New Roman" w:hAnsi="Arial" w:cs="Arial"/>
          <w:b/>
          <w:bCs/>
          <w:color w:val="000000"/>
          <w:sz w:val="27"/>
          <w:szCs w:val="27"/>
          <w:lang w:eastAsia="ru-RU"/>
        </w:rPr>
        <w:t>1</w:t>
      </w:r>
      <w:r w:rsidRPr="00C24733">
        <w:rPr>
          <w:rFonts w:ascii="Arial" w:eastAsia="Times New Roman" w:hAnsi="Arial" w:cs="Arial"/>
          <w:b/>
          <w:bCs/>
          <w:i/>
          <w:iCs/>
          <w:color w:val="000000"/>
          <w:sz w:val="27"/>
          <w:szCs w:val="27"/>
          <w:lang w:eastAsia="ru-RU"/>
        </w:rPr>
        <w:t>+RP)(</w:t>
      </w:r>
      <w:r w:rsidRPr="00C24733">
        <w:rPr>
          <w:rFonts w:ascii="Arial" w:eastAsia="Times New Roman" w:hAnsi="Arial" w:cs="Arial"/>
          <w:b/>
          <w:bCs/>
          <w:color w:val="000000"/>
          <w:sz w:val="27"/>
          <w:szCs w:val="27"/>
          <w:lang w:eastAsia="ru-RU"/>
        </w:rPr>
        <w:t>1</w:t>
      </w:r>
      <w:r w:rsidRPr="00C24733">
        <w:rPr>
          <w:rFonts w:ascii="Arial" w:eastAsia="Times New Roman" w:hAnsi="Arial" w:cs="Arial"/>
          <w:b/>
          <w:bCs/>
          <w:i/>
          <w:iCs/>
          <w:color w:val="000000"/>
          <w:sz w:val="27"/>
          <w:szCs w:val="27"/>
          <w:lang w:eastAsia="ru-RU"/>
        </w:rPr>
        <w:t> + i</w:t>
      </w:r>
      <w:r w:rsidRPr="00C24733">
        <w:rPr>
          <w:rFonts w:ascii="Arial" w:eastAsia="Times New Roman" w:hAnsi="Arial" w:cs="Arial"/>
          <w:b/>
          <w:bCs/>
          <w:i/>
          <w:iCs/>
          <w:color w:val="000000"/>
          <w:sz w:val="27"/>
          <w:szCs w:val="27"/>
          <w:vertAlign w:val="subscript"/>
          <w:lang w:eastAsia="ru-RU"/>
        </w:rPr>
        <w:t>ш</w:t>
      </w:r>
      <w:r w:rsidRPr="00C24733">
        <w:rPr>
          <w:rFonts w:ascii="Arial" w:eastAsia="Times New Roman" w:hAnsi="Arial" w:cs="Arial"/>
          <w:b/>
          <w:bCs/>
          <w:i/>
          <w:iCs/>
          <w:color w:val="000000"/>
          <w:sz w:val="27"/>
          <w:szCs w:val="27"/>
          <w:lang w:eastAsia="ru-RU"/>
        </w:rPr>
        <w:t>)</w:t>
      </w:r>
      <w:r w:rsidRPr="00C24733">
        <w:rPr>
          <w:rFonts w:ascii="Arial" w:eastAsia="Times New Roman" w:hAnsi="Arial" w:cs="Arial"/>
          <w:b/>
          <w:bCs/>
          <w:color w:val="000000"/>
          <w:sz w:val="27"/>
          <w:szCs w:val="27"/>
          <w:lang w:eastAsia="ru-RU"/>
        </w:rPr>
        <w:t> (4)</w:t>
      </w:r>
    </w:p>
    <w:p w14:paraId="0F6B2B75"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Где </w:t>
      </w:r>
      <w:r w:rsidRPr="00C24733">
        <w:rPr>
          <w:rFonts w:ascii="Arial" w:eastAsia="Times New Roman" w:hAnsi="Arial" w:cs="Arial"/>
          <w:i/>
          <w:iCs/>
          <w:color w:val="000000"/>
          <w:sz w:val="20"/>
          <w:szCs w:val="20"/>
          <w:lang w:eastAsia="ru-RU"/>
        </w:rPr>
        <w:t>i</w:t>
      </w:r>
      <w:r w:rsidRPr="00C24733">
        <w:rPr>
          <w:rFonts w:ascii="Arial" w:eastAsia="Times New Roman" w:hAnsi="Arial" w:cs="Arial"/>
          <w:i/>
          <w:iCs/>
          <w:color w:val="000000"/>
          <w:sz w:val="20"/>
          <w:szCs w:val="20"/>
          <w:vertAlign w:val="subscript"/>
          <w:lang w:eastAsia="ru-RU"/>
        </w:rPr>
        <w:t>ш</w:t>
      </w:r>
      <w:r w:rsidRPr="00C24733">
        <w:rPr>
          <w:rFonts w:ascii="Arial" w:eastAsia="Times New Roman" w:hAnsi="Arial" w:cs="Arial"/>
          <w:i/>
          <w:iCs/>
          <w:color w:val="000000"/>
          <w:sz w:val="20"/>
          <w:szCs w:val="20"/>
          <w:lang w:eastAsia="ru-RU"/>
        </w:rPr>
        <w:t> - </w:t>
      </w:r>
      <w:r w:rsidRPr="00C24733">
        <w:rPr>
          <w:rFonts w:ascii="Arial" w:eastAsia="Times New Roman" w:hAnsi="Arial" w:cs="Arial"/>
          <w:color w:val="000000"/>
          <w:sz w:val="20"/>
          <w:szCs w:val="20"/>
          <w:lang w:eastAsia="ru-RU"/>
        </w:rPr>
        <w:t>темп инфляции средний за шаг расчета.</w:t>
      </w:r>
    </w:p>
    <w:p w14:paraId="1D6EE5B2"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Процентные ставки </w:t>
      </w:r>
      <w:r w:rsidRPr="00C24733">
        <w:rPr>
          <w:rFonts w:ascii="Arial" w:eastAsia="Times New Roman" w:hAnsi="Arial" w:cs="Arial"/>
          <w:color w:val="000000"/>
          <w:sz w:val="20"/>
          <w:szCs w:val="20"/>
          <w:lang w:eastAsia="ru-RU"/>
        </w:rPr>
        <w:t>по депозитным вкладам и заемным средствам часто являются базой при определении нормы дисконта. Кроме этого, принимая во внимание, что использование норм дисконта, учитывающих инфляционные ожидания инвесторов, является одним из методов учета инфляции при инвестиционном анализе, необходимо обратить внимание на такую экономическую категорию, как процентные ставки.</w:t>
      </w:r>
    </w:p>
    <w:p w14:paraId="426EAE5D" w14:textId="18A64253" w:rsidR="00C24733" w:rsidRPr="00C24733" w:rsidRDefault="00C24733" w:rsidP="00C24733">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24733">
        <w:rPr>
          <w:rFonts w:ascii="Arial" w:eastAsia="Times New Roman" w:hAnsi="Arial" w:cs="Arial"/>
          <w:noProof/>
          <w:color w:val="000000"/>
          <w:sz w:val="20"/>
          <w:szCs w:val="20"/>
          <w:lang w:eastAsia="ru-RU"/>
        </w:rPr>
        <w:lastRenderedPageBreak/>
        <w:drawing>
          <wp:inline distT="0" distB="0" distL="0" distR="0" wp14:anchorId="48C97225" wp14:editId="68BF9439">
            <wp:extent cx="5939790" cy="6306185"/>
            <wp:effectExtent l="0" t="0" r="3810" b="0"/>
            <wp:docPr id="2" name="Рисунок 2" descr="Классификация норм дисконта по основным признак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лассификация норм дисконта по основным признака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6306185"/>
                    </a:xfrm>
                    <a:prstGeom prst="rect">
                      <a:avLst/>
                    </a:prstGeom>
                    <a:noFill/>
                    <a:ln>
                      <a:noFill/>
                    </a:ln>
                  </pic:spPr>
                </pic:pic>
              </a:graphicData>
            </a:graphic>
          </wp:inline>
        </w:drawing>
      </w:r>
    </w:p>
    <w:p w14:paraId="2B23F151" w14:textId="77777777" w:rsidR="00C24733" w:rsidRPr="00C24733" w:rsidRDefault="00C24733" w:rsidP="00C24733">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24733">
        <w:rPr>
          <w:rFonts w:ascii="Arial" w:eastAsia="Times New Roman" w:hAnsi="Arial" w:cs="Arial"/>
          <w:i/>
          <w:iCs/>
          <w:color w:val="000000"/>
          <w:sz w:val="20"/>
          <w:szCs w:val="20"/>
          <w:lang w:eastAsia="ru-RU"/>
        </w:rPr>
        <w:t>Рис. 2. Классификация норм дисконта по основным признакам</w:t>
      </w:r>
    </w:p>
    <w:p w14:paraId="1CED6780"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Кредитная (р</w:t>
      </w:r>
      <w:r w:rsidRPr="00C24733">
        <w:rPr>
          <w:rFonts w:ascii="Arial" w:eastAsia="Times New Roman" w:hAnsi="Arial" w:cs="Arial"/>
          <w:color w:val="000000"/>
          <w:sz w:val="20"/>
          <w:szCs w:val="20"/>
          <w:vertAlign w:val="subscript"/>
          <w:lang w:eastAsia="ru-RU"/>
        </w:rPr>
        <w:t>кр</w:t>
      </w:r>
      <w:r w:rsidRPr="00C24733">
        <w:rPr>
          <w:rFonts w:ascii="Arial" w:eastAsia="Times New Roman" w:hAnsi="Arial" w:cs="Arial"/>
          <w:color w:val="000000"/>
          <w:sz w:val="20"/>
          <w:szCs w:val="20"/>
          <w:lang w:eastAsia="ru-RU"/>
        </w:rPr>
        <w:t>) и депозитная (р</w:t>
      </w:r>
      <w:r w:rsidRPr="00C24733">
        <w:rPr>
          <w:rFonts w:ascii="Arial" w:eastAsia="Times New Roman" w:hAnsi="Arial" w:cs="Arial"/>
          <w:color w:val="000000"/>
          <w:sz w:val="20"/>
          <w:szCs w:val="20"/>
          <w:vertAlign w:val="subscript"/>
          <w:lang w:eastAsia="ru-RU"/>
        </w:rPr>
        <w:t>д</w:t>
      </w:r>
      <w:r w:rsidRPr="00C24733">
        <w:rPr>
          <w:rFonts w:ascii="Arial" w:eastAsia="Times New Roman" w:hAnsi="Arial" w:cs="Arial"/>
          <w:color w:val="000000"/>
          <w:sz w:val="20"/>
          <w:szCs w:val="20"/>
          <w:lang w:eastAsia="ru-RU"/>
        </w:rPr>
        <w:t>) процентные ставки могут быть номинальными и реальными.</w:t>
      </w:r>
    </w:p>
    <w:p w14:paraId="5AA86062"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Номинальной </w:t>
      </w:r>
      <w:r w:rsidRPr="00C24733">
        <w:rPr>
          <w:rFonts w:ascii="Arial" w:eastAsia="Times New Roman" w:hAnsi="Arial" w:cs="Arial"/>
          <w:color w:val="000000"/>
          <w:sz w:val="20"/>
          <w:szCs w:val="20"/>
          <w:lang w:eastAsia="ru-RU"/>
        </w:rPr>
        <w:t>называется процентная ставка р</w:t>
      </w:r>
      <w:r w:rsidRPr="00C24733">
        <w:rPr>
          <w:rFonts w:ascii="Arial" w:eastAsia="Times New Roman" w:hAnsi="Arial" w:cs="Arial"/>
          <w:color w:val="000000"/>
          <w:sz w:val="20"/>
          <w:szCs w:val="20"/>
          <w:vertAlign w:val="subscript"/>
          <w:lang w:eastAsia="ru-RU"/>
        </w:rPr>
        <w:t>н</w:t>
      </w:r>
      <w:r w:rsidRPr="00C24733">
        <w:rPr>
          <w:rFonts w:ascii="Arial" w:eastAsia="Times New Roman" w:hAnsi="Arial" w:cs="Arial"/>
          <w:color w:val="000000"/>
          <w:sz w:val="20"/>
          <w:szCs w:val="20"/>
          <w:lang w:eastAsia="ru-RU"/>
        </w:rPr>
        <w:t>, объявленная кредитором. Она учитывает, как правило, не только доход кредитора, но и индекс инфляции.</w:t>
      </w:r>
    </w:p>
    <w:p w14:paraId="08866300"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Реальная процентная ставка </w:t>
      </w:r>
      <w:r w:rsidRPr="00C24733">
        <w:rPr>
          <w:rFonts w:ascii="Arial" w:eastAsia="Times New Roman" w:hAnsi="Arial" w:cs="Arial"/>
          <w:color w:val="000000"/>
          <w:sz w:val="20"/>
          <w:szCs w:val="20"/>
          <w:lang w:eastAsia="ru-RU"/>
        </w:rPr>
        <w:t>р</w:t>
      </w:r>
      <w:r w:rsidRPr="00C24733">
        <w:rPr>
          <w:rFonts w:ascii="Arial" w:eastAsia="Times New Roman" w:hAnsi="Arial" w:cs="Arial"/>
          <w:color w:val="000000"/>
          <w:sz w:val="20"/>
          <w:szCs w:val="20"/>
          <w:vertAlign w:val="subscript"/>
          <w:lang w:eastAsia="ru-RU"/>
        </w:rPr>
        <w:t>0</w:t>
      </w:r>
      <w:r w:rsidRPr="00C24733">
        <w:rPr>
          <w:rFonts w:ascii="Arial" w:eastAsia="Times New Roman" w:hAnsi="Arial" w:cs="Arial"/>
          <w:color w:val="000000"/>
          <w:sz w:val="20"/>
          <w:szCs w:val="20"/>
          <w:lang w:eastAsia="ru-RU"/>
        </w:rPr>
        <w:t> - это номинальная процентная ставка, скорректированная с учетом инфляции («очищенная от инфляции»).</w:t>
      </w:r>
    </w:p>
    <w:p w14:paraId="2690B0D9"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Связь между номинальной и реальной процентными ставками дается формулой Фишера [7]:</w:t>
      </w:r>
    </w:p>
    <w:p w14:paraId="17DD3101" w14:textId="77777777" w:rsidR="00C24733" w:rsidRPr="00C24733" w:rsidRDefault="00C24733" w:rsidP="00C24733">
      <w:pPr>
        <w:shd w:val="clear" w:color="auto" w:fill="FFFFFF"/>
        <w:spacing w:before="100" w:beforeAutospacing="1" w:after="100" w:afterAutospacing="1"/>
        <w:jc w:val="center"/>
        <w:outlineLvl w:val="2"/>
        <w:rPr>
          <w:rFonts w:ascii="Arial" w:eastAsia="Times New Roman" w:hAnsi="Arial" w:cs="Arial"/>
          <w:b/>
          <w:bCs/>
          <w:color w:val="000000"/>
          <w:sz w:val="27"/>
          <w:szCs w:val="27"/>
          <w:lang w:eastAsia="ru-RU"/>
        </w:rPr>
      </w:pPr>
      <w:r w:rsidRPr="00C24733">
        <w:rPr>
          <w:rFonts w:ascii="Arial" w:eastAsia="Times New Roman" w:hAnsi="Arial" w:cs="Arial"/>
          <w:b/>
          <w:bCs/>
          <w:color w:val="000000"/>
          <w:sz w:val="27"/>
          <w:szCs w:val="27"/>
          <w:lang w:eastAsia="ru-RU"/>
        </w:rPr>
        <w:t>1+</w:t>
      </w:r>
      <w:r w:rsidRPr="00C24733">
        <w:rPr>
          <w:rFonts w:ascii="Arial" w:eastAsia="Times New Roman" w:hAnsi="Arial" w:cs="Arial"/>
          <w:b/>
          <w:bCs/>
          <w:i/>
          <w:iCs/>
          <w:color w:val="000000"/>
          <w:sz w:val="27"/>
          <w:szCs w:val="27"/>
          <w:lang w:eastAsia="ru-RU"/>
        </w:rPr>
        <w:t>Р</w:t>
      </w:r>
      <w:r w:rsidRPr="00C24733">
        <w:rPr>
          <w:rFonts w:ascii="Arial" w:eastAsia="Times New Roman" w:hAnsi="Arial" w:cs="Arial"/>
          <w:b/>
          <w:bCs/>
          <w:i/>
          <w:iCs/>
          <w:color w:val="000000"/>
          <w:sz w:val="27"/>
          <w:szCs w:val="27"/>
          <w:vertAlign w:val="subscript"/>
          <w:lang w:eastAsia="ru-RU"/>
        </w:rPr>
        <w:t>нш</w:t>
      </w:r>
      <w:r w:rsidRPr="00C24733">
        <w:rPr>
          <w:rFonts w:ascii="Arial" w:eastAsia="Times New Roman" w:hAnsi="Arial" w:cs="Arial"/>
          <w:b/>
          <w:bCs/>
          <w:color w:val="000000"/>
          <w:sz w:val="27"/>
          <w:szCs w:val="27"/>
          <w:lang w:eastAsia="ru-RU"/>
        </w:rPr>
        <w:t>=(1+</w:t>
      </w:r>
      <w:r w:rsidRPr="00C24733">
        <w:rPr>
          <w:rFonts w:ascii="Arial" w:eastAsia="Times New Roman" w:hAnsi="Arial" w:cs="Arial"/>
          <w:b/>
          <w:bCs/>
          <w:i/>
          <w:iCs/>
          <w:color w:val="000000"/>
          <w:sz w:val="27"/>
          <w:szCs w:val="27"/>
          <w:lang w:eastAsia="ru-RU"/>
        </w:rPr>
        <w:t> Р</w:t>
      </w:r>
      <w:r w:rsidRPr="00C24733">
        <w:rPr>
          <w:rFonts w:ascii="Arial" w:eastAsia="Times New Roman" w:hAnsi="Arial" w:cs="Arial"/>
          <w:b/>
          <w:bCs/>
          <w:i/>
          <w:iCs/>
          <w:color w:val="000000"/>
          <w:sz w:val="27"/>
          <w:szCs w:val="27"/>
          <w:vertAlign w:val="subscript"/>
          <w:lang w:eastAsia="ru-RU"/>
        </w:rPr>
        <w:t>ош</w:t>
      </w:r>
      <w:r w:rsidRPr="00C24733">
        <w:rPr>
          <w:rFonts w:ascii="Arial" w:eastAsia="Times New Roman" w:hAnsi="Arial" w:cs="Arial"/>
          <w:b/>
          <w:bCs/>
          <w:color w:val="000000"/>
          <w:sz w:val="27"/>
          <w:szCs w:val="27"/>
          <w:lang w:eastAsia="ru-RU"/>
        </w:rPr>
        <w:t>) (1+</w:t>
      </w:r>
      <w:r w:rsidRPr="00C24733">
        <w:rPr>
          <w:rFonts w:ascii="Arial" w:eastAsia="Times New Roman" w:hAnsi="Arial" w:cs="Arial"/>
          <w:b/>
          <w:bCs/>
          <w:i/>
          <w:iCs/>
          <w:color w:val="000000"/>
          <w:sz w:val="27"/>
          <w:szCs w:val="27"/>
          <w:lang w:eastAsia="ru-RU"/>
        </w:rPr>
        <w:t>i</w:t>
      </w:r>
      <w:r w:rsidRPr="00C24733">
        <w:rPr>
          <w:rFonts w:ascii="Arial" w:eastAsia="Times New Roman" w:hAnsi="Arial" w:cs="Arial"/>
          <w:b/>
          <w:bCs/>
          <w:i/>
          <w:iCs/>
          <w:color w:val="000000"/>
          <w:sz w:val="27"/>
          <w:szCs w:val="27"/>
          <w:vertAlign w:val="subscript"/>
          <w:lang w:eastAsia="ru-RU"/>
        </w:rPr>
        <w:t>ш</w:t>
      </w:r>
      <w:r w:rsidRPr="00C24733">
        <w:rPr>
          <w:rFonts w:ascii="Arial" w:eastAsia="Times New Roman" w:hAnsi="Arial" w:cs="Arial"/>
          <w:b/>
          <w:bCs/>
          <w:color w:val="000000"/>
          <w:sz w:val="27"/>
          <w:szCs w:val="27"/>
          <w:lang w:eastAsia="ru-RU"/>
        </w:rPr>
        <w:t>).   (5)</w:t>
      </w:r>
    </w:p>
    <w:p w14:paraId="1BADA15F"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lastRenderedPageBreak/>
        <w:t>где Р</w:t>
      </w:r>
      <w:r w:rsidRPr="00C24733">
        <w:rPr>
          <w:rFonts w:ascii="Arial" w:eastAsia="Times New Roman" w:hAnsi="Arial" w:cs="Arial"/>
          <w:color w:val="000000"/>
          <w:sz w:val="20"/>
          <w:szCs w:val="20"/>
          <w:vertAlign w:val="subscript"/>
          <w:lang w:eastAsia="ru-RU"/>
        </w:rPr>
        <w:t>нш</w:t>
      </w:r>
      <w:r w:rsidRPr="00C24733">
        <w:rPr>
          <w:rFonts w:ascii="Arial" w:eastAsia="Times New Roman" w:hAnsi="Arial" w:cs="Arial"/>
          <w:color w:val="000000"/>
          <w:sz w:val="20"/>
          <w:szCs w:val="20"/>
          <w:lang w:eastAsia="ru-RU"/>
        </w:rPr>
        <w:t> - номинальная процентная ставка за один шаг начисления процентов;</w:t>
      </w:r>
      <w:r w:rsidRPr="00C24733">
        <w:rPr>
          <w:rFonts w:ascii="Arial" w:eastAsia="Times New Roman" w:hAnsi="Arial" w:cs="Arial"/>
          <w:color w:val="000000"/>
          <w:sz w:val="20"/>
          <w:szCs w:val="20"/>
          <w:lang w:eastAsia="ru-RU"/>
        </w:rPr>
        <w:br/>
        <w:t>Р</w:t>
      </w:r>
      <w:r w:rsidRPr="00C24733">
        <w:rPr>
          <w:rFonts w:ascii="Arial" w:eastAsia="Times New Roman" w:hAnsi="Arial" w:cs="Arial"/>
          <w:color w:val="000000"/>
          <w:sz w:val="20"/>
          <w:szCs w:val="20"/>
          <w:vertAlign w:val="subscript"/>
          <w:lang w:eastAsia="ru-RU"/>
        </w:rPr>
        <w:t>ош</w:t>
      </w:r>
      <w:r w:rsidRPr="00C24733">
        <w:rPr>
          <w:rFonts w:ascii="Arial" w:eastAsia="Times New Roman" w:hAnsi="Arial" w:cs="Arial"/>
          <w:color w:val="000000"/>
          <w:sz w:val="20"/>
          <w:szCs w:val="20"/>
          <w:lang w:eastAsia="ru-RU"/>
        </w:rPr>
        <w:t> - реальная процентная ставка за один шаг начисления процентов;</w:t>
      </w:r>
      <w:r w:rsidRPr="00C24733">
        <w:rPr>
          <w:rFonts w:ascii="Arial" w:eastAsia="Times New Roman" w:hAnsi="Arial" w:cs="Arial"/>
          <w:color w:val="000000"/>
          <w:sz w:val="20"/>
          <w:szCs w:val="20"/>
          <w:lang w:eastAsia="ru-RU"/>
        </w:rPr>
        <w:br/>
        <w:t>I</w:t>
      </w:r>
      <w:r w:rsidRPr="00C24733">
        <w:rPr>
          <w:rFonts w:ascii="Arial" w:eastAsia="Times New Roman" w:hAnsi="Arial" w:cs="Arial"/>
          <w:color w:val="000000"/>
          <w:sz w:val="20"/>
          <w:szCs w:val="20"/>
          <w:vertAlign w:val="subscript"/>
          <w:lang w:eastAsia="ru-RU"/>
        </w:rPr>
        <w:t>Ш</w:t>
      </w:r>
      <w:r w:rsidRPr="00C24733">
        <w:rPr>
          <w:rFonts w:ascii="Arial" w:eastAsia="Times New Roman" w:hAnsi="Arial" w:cs="Arial"/>
          <w:color w:val="000000"/>
          <w:sz w:val="20"/>
          <w:szCs w:val="20"/>
          <w:lang w:eastAsia="ru-RU"/>
        </w:rPr>
        <w:t> - темп инфляции средний за шаг начисления процентов.</w:t>
      </w:r>
    </w:p>
    <w:p w14:paraId="6F148137"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При расчетах npv в прогнозных и дефлированных ценах за базу для определения нормы дисконта следует принимать реальную процентную ставку, а при расчетах в текущих ценах - номинальную процентную ставку, при этом не следует учитывать темп инфляции в формуле (4)</w:t>
      </w:r>
    </w:p>
    <w:p w14:paraId="00AE14AB"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2.4. Источники финансирования</w:t>
      </w:r>
    </w:p>
    <w:p w14:paraId="315B9700"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Инвестиционные проекты могут осуществляться за счет собственного капитала, привлеченного капитала и смешанного капитала (собственного и привлеченного).</w:t>
      </w:r>
    </w:p>
    <w:p w14:paraId="21BC9B4B"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При осуществлении ИП за счет </w:t>
      </w:r>
      <w:r w:rsidRPr="00C24733">
        <w:rPr>
          <w:rFonts w:ascii="Arial" w:eastAsia="Times New Roman" w:hAnsi="Arial" w:cs="Arial"/>
          <w:b/>
          <w:bCs/>
          <w:color w:val="000000"/>
          <w:sz w:val="20"/>
          <w:szCs w:val="20"/>
          <w:lang w:eastAsia="ru-RU"/>
        </w:rPr>
        <w:t>собственного капитала </w:t>
      </w:r>
      <w:r w:rsidRPr="00C24733">
        <w:rPr>
          <w:rFonts w:ascii="Arial" w:eastAsia="Times New Roman" w:hAnsi="Arial" w:cs="Arial"/>
          <w:color w:val="000000"/>
          <w:sz w:val="20"/>
          <w:szCs w:val="20"/>
          <w:lang w:eastAsia="ru-RU"/>
        </w:rPr>
        <w:t>фирмы, обычно за базу для определения нормы дисконта принимается доходность альтернативных направлений инвестирования.</w:t>
      </w:r>
    </w:p>
    <w:p w14:paraId="5B9E4561"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При экономической оценке ИП, осуществляемых за счет </w:t>
      </w:r>
      <w:r w:rsidRPr="00C24733">
        <w:rPr>
          <w:rFonts w:ascii="Arial" w:eastAsia="Times New Roman" w:hAnsi="Arial" w:cs="Arial"/>
          <w:b/>
          <w:bCs/>
          <w:color w:val="000000"/>
          <w:sz w:val="20"/>
          <w:szCs w:val="20"/>
          <w:lang w:eastAsia="ru-RU"/>
        </w:rPr>
        <w:t>заемных средств, </w:t>
      </w:r>
      <w:r w:rsidRPr="00C24733">
        <w:rPr>
          <w:rFonts w:ascii="Arial" w:eastAsia="Times New Roman" w:hAnsi="Arial" w:cs="Arial"/>
          <w:color w:val="000000"/>
          <w:sz w:val="20"/>
          <w:szCs w:val="20"/>
          <w:lang w:eastAsia="ru-RU"/>
        </w:rPr>
        <w:t>норма дисконта принимается равной кредитной процентной ставке.</w:t>
      </w:r>
    </w:p>
    <w:p w14:paraId="61D8741D"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При осуществлении проекта за счет </w:t>
      </w:r>
      <w:r w:rsidRPr="00C24733">
        <w:rPr>
          <w:rFonts w:ascii="Arial" w:eastAsia="Times New Roman" w:hAnsi="Arial" w:cs="Arial"/>
          <w:b/>
          <w:bCs/>
          <w:color w:val="000000"/>
          <w:sz w:val="20"/>
          <w:szCs w:val="20"/>
          <w:lang w:eastAsia="ru-RU"/>
        </w:rPr>
        <w:t>смешанного капитала </w:t>
      </w:r>
      <w:r w:rsidRPr="00C24733">
        <w:rPr>
          <w:rFonts w:ascii="Arial" w:eastAsia="Times New Roman" w:hAnsi="Arial" w:cs="Arial"/>
          <w:color w:val="000000"/>
          <w:sz w:val="20"/>
          <w:szCs w:val="20"/>
          <w:lang w:eastAsia="ru-RU"/>
        </w:rPr>
        <w:t>норма дисконта определяется как </w:t>
      </w:r>
      <w:r w:rsidRPr="00C24733">
        <w:rPr>
          <w:rFonts w:ascii="Arial" w:eastAsia="Times New Roman" w:hAnsi="Arial" w:cs="Arial"/>
          <w:b/>
          <w:bCs/>
          <w:color w:val="000000"/>
          <w:sz w:val="20"/>
          <w:szCs w:val="20"/>
          <w:lang w:eastAsia="ru-RU"/>
        </w:rPr>
        <w:t>средневзвешенная стоимость капитала </w:t>
      </w:r>
      <w:r w:rsidRPr="00C24733">
        <w:rPr>
          <w:rFonts w:ascii="Arial" w:eastAsia="Times New Roman" w:hAnsi="Arial" w:cs="Arial"/>
          <w:color w:val="000000"/>
          <w:sz w:val="20"/>
          <w:szCs w:val="20"/>
          <w:lang w:eastAsia="ru-RU"/>
        </w:rPr>
        <w:t>WACC (Weighted Average Cost Of Capital) no формуле:</w:t>
      </w:r>
    </w:p>
    <w:p w14:paraId="47EB64D6" w14:textId="55143288" w:rsidR="00C24733" w:rsidRPr="00C24733" w:rsidRDefault="00C24733" w:rsidP="00C24733">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24733">
        <w:rPr>
          <w:rFonts w:ascii="Arial" w:eastAsia="Times New Roman" w:hAnsi="Arial" w:cs="Arial"/>
          <w:noProof/>
          <w:color w:val="000000"/>
          <w:sz w:val="20"/>
          <w:szCs w:val="20"/>
          <w:lang w:eastAsia="ru-RU"/>
        </w:rPr>
        <w:drawing>
          <wp:inline distT="0" distB="0" distL="0" distR="0" wp14:anchorId="732CC95C" wp14:editId="46877159">
            <wp:extent cx="1950720" cy="6019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0720" cy="601980"/>
                    </a:xfrm>
                    <a:prstGeom prst="rect">
                      <a:avLst/>
                    </a:prstGeom>
                    <a:noFill/>
                    <a:ln>
                      <a:noFill/>
                    </a:ln>
                  </pic:spPr>
                </pic:pic>
              </a:graphicData>
            </a:graphic>
          </wp:inline>
        </w:drawing>
      </w:r>
      <w:r w:rsidRPr="00C24733">
        <w:rPr>
          <w:rFonts w:ascii="Arial" w:eastAsia="Times New Roman" w:hAnsi="Arial" w:cs="Arial"/>
          <w:color w:val="000000"/>
          <w:sz w:val="20"/>
          <w:szCs w:val="20"/>
          <w:lang w:eastAsia="ru-RU"/>
        </w:rPr>
        <w:t>  (6)</w:t>
      </w:r>
    </w:p>
    <w:p w14:paraId="2C883997"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где</w:t>
      </w:r>
      <w:r w:rsidRPr="00C24733">
        <w:rPr>
          <w:rFonts w:ascii="Arial" w:eastAsia="Times New Roman" w:hAnsi="Arial" w:cs="Arial"/>
          <w:color w:val="000000"/>
          <w:sz w:val="20"/>
          <w:szCs w:val="20"/>
          <w:lang w:eastAsia="ru-RU"/>
        </w:rPr>
        <w:br/>
      </w:r>
      <w:r w:rsidRPr="00C24733">
        <w:rPr>
          <w:rFonts w:ascii="Arial" w:eastAsia="Times New Roman" w:hAnsi="Arial" w:cs="Arial"/>
          <w:i/>
          <w:iCs/>
          <w:color w:val="000000"/>
          <w:sz w:val="20"/>
          <w:szCs w:val="20"/>
          <w:lang w:eastAsia="ru-RU"/>
        </w:rPr>
        <w:t>n</w:t>
      </w:r>
      <w:r w:rsidRPr="00C24733">
        <w:rPr>
          <w:rFonts w:ascii="Arial" w:eastAsia="Times New Roman" w:hAnsi="Arial" w:cs="Arial"/>
          <w:color w:val="000000"/>
          <w:sz w:val="20"/>
          <w:szCs w:val="20"/>
          <w:lang w:eastAsia="ru-RU"/>
        </w:rPr>
        <w:t> - количество видов капиталов;</w:t>
      </w:r>
      <w:r w:rsidRPr="00C24733">
        <w:rPr>
          <w:rFonts w:ascii="Arial" w:eastAsia="Times New Roman" w:hAnsi="Arial" w:cs="Arial"/>
          <w:color w:val="000000"/>
          <w:sz w:val="20"/>
          <w:szCs w:val="20"/>
          <w:lang w:eastAsia="ru-RU"/>
        </w:rPr>
        <w:br/>
      </w:r>
      <w:r w:rsidRPr="00C24733">
        <w:rPr>
          <w:rFonts w:ascii="Arial" w:eastAsia="Times New Roman" w:hAnsi="Arial" w:cs="Arial"/>
          <w:i/>
          <w:iCs/>
          <w:color w:val="000000"/>
          <w:sz w:val="20"/>
          <w:szCs w:val="20"/>
          <w:lang w:eastAsia="ru-RU"/>
        </w:rPr>
        <w:t>Ei</w:t>
      </w:r>
      <w:r w:rsidRPr="00C24733">
        <w:rPr>
          <w:rFonts w:ascii="Arial" w:eastAsia="Times New Roman" w:hAnsi="Arial" w:cs="Arial"/>
          <w:color w:val="000000"/>
          <w:sz w:val="20"/>
          <w:szCs w:val="20"/>
          <w:lang w:eastAsia="ru-RU"/>
        </w:rPr>
        <w:t> - норма дисконта i-го капитала;</w:t>
      </w:r>
      <w:r w:rsidRPr="00C24733">
        <w:rPr>
          <w:rFonts w:ascii="Arial" w:eastAsia="Times New Roman" w:hAnsi="Arial" w:cs="Arial"/>
          <w:color w:val="000000"/>
          <w:sz w:val="20"/>
          <w:szCs w:val="20"/>
          <w:lang w:eastAsia="ru-RU"/>
        </w:rPr>
        <w:br/>
      </w:r>
      <w:r w:rsidRPr="00C24733">
        <w:rPr>
          <w:rFonts w:ascii="Arial" w:eastAsia="Times New Roman" w:hAnsi="Arial" w:cs="Arial"/>
          <w:i/>
          <w:iCs/>
          <w:color w:val="000000"/>
          <w:sz w:val="20"/>
          <w:szCs w:val="20"/>
          <w:lang w:eastAsia="ru-RU"/>
        </w:rPr>
        <w:t>di</w:t>
      </w:r>
      <w:r w:rsidRPr="00C24733">
        <w:rPr>
          <w:rFonts w:ascii="Arial" w:eastAsia="Times New Roman" w:hAnsi="Arial" w:cs="Arial"/>
          <w:color w:val="000000"/>
          <w:sz w:val="20"/>
          <w:szCs w:val="20"/>
          <w:lang w:eastAsia="ru-RU"/>
        </w:rPr>
        <w:t> - доля i-гo капитала в общем капитале.</w:t>
      </w:r>
    </w:p>
    <w:p w14:paraId="01161327"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b/>
          <w:bCs/>
          <w:color w:val="000000"/>
          <w:sz w:val="20"/>
          <w:szCs w:val="20"/>
          <w:lang w:eastAsia="ru-RU"/>
        </w:rPr>
        <w:t>3. Классификация норм дисконта</w:t>
      </w:r>
    </w:p>
    <w:p w14:paraId="46E9629C"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На основе систематизации изложенного выше предложена классификация норм дисконта по основным признакам (рис. 2).</w:t>
      </w:r>
    </w:p>
    <w:p w14:paraId="0278D14B" w14:textId="77777777" w:rsidR="00C24733" w:rsidRPr="00C24733" w:rsidRDefault="00C24733" w:rsidP="00C2473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БИБЛИОГРАФИЧЕСКИЙ СПИСОК:</w:t>
      </w:r>
    </w:p>
    <w:p w14:paraId="7001E849" w14:textId="77777777" w:rsidR="00C24733" w:rsidRPr="00C24733" w:rsidRDefault="00C24733" w:rsidP="00C24733">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Постановление Правительства РФ от 22.11.97 г. № 1470 «Положение об оценке эффективности инвестиционных проектов при размещении на конкурсной основе централизованных инвестиционных ресурсов бюджета развития Российской Федерации».</w:t>
      </w:r>
    </w:p>
    <w:p w14:paraId="143921A6" w14:textId="77777777" w:rsidR="00C24733" w:rsidRPr="00C24733" w:rsidRDefault="00C24733" w:rsidP="00C24733">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i/>
          <w:iCs/>
          <w:color w:val="000000"/>
          <w:sz w:val="20"/>
          <w:szCs w:val="20"/>
          <w:lang w:eastAsia="ru-RU"/>
        </w:rPr>
        <w:t>Абрамов А. Е. </w:t>
      </w:r>
      <w:r w:rsidRPr="00C24733">
        <w:rPr>
          <w:rFonts w:ascii="Arial" w:eastAsia="Times New Roman" w:hAnsi="Arial" w:cs="Arial"/>
          <w:color w:val="000000"/>
          <w:sz w:val="20"/>
          <w:szCs w:val="20"/>
          <w:lang w:eastAsia="ru-RU"/>
        </w:rPr>
        <w:t>Основы анализа финансовой, хозяйственной и инвес</w:t>
      </w:r>
      <w:r w:rsidRPr="00C24733">
        <w:rPr>
          <w:rFonts w:ascii="Arial" w:eastAsia="Times New Roman" w:hAnsi="Arial" w:cs="Arial"/>
          <w:color w:val="000000"/>
          <w:sz w:val="20"/>
          <w:szCs w:val="20"/>
          <w:lang w:eastAsia="ru-RU"/>
        </w:rPr>
        <w:softHyphen/>
        <w:t>тиционной деятельности предприятия. - М.: Экономика и жизнь, 1994.</w:t>
      </w:r>
    </w:p>
    <w:p w14:paraId="6ECCA1B6" w14:textId="77777777" w:rsidR="00C24733" w:rsidRPr="00C24733" w:rsidRDefault="00C24733" w:rsidP="00C24733">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i/>
          <w:iCs/>
          <w:color w:val="000000"/>
          <w:sz w:val="20"/>
          <w:szCs w:val="20"/>
          <w:lang w:eastAsia="ru-RU"/>
        </w:rPr>
        <w:t>Виленский П. Л., Рябикоеа Н. Я. </w:t>
      </w:r>
      <w:r w:rsidRPr="00C24733">
        <w:rPr>
          <w:rFonts w:ascii="Arial" w:eastAsia="Times New Roman" w:hAnsi="Arial" w:cs="Arial"/>
          <w:color w:val="000000"/>
          <w:sz w:val="20"/>
          <w:szCs w:val="20"/>
          <w:lang w:eastAsia="ru-RU"/>
        </w:rPr>
        <w:t>Рекомендации по расчетам экономической эффективности инвестиционных проектов. -М., 1996.</w:t>
      </w:r>
    </w:p>
    <w:p w14:paraId="3B64BD1A" w14:textId="77777777" w:rsidR="00C24733" w:rsidRPr="00C24733" w:rsidRDefault="00C24733" w:rsidP="00C24733">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Инвестиции. Учебник (под Ред. В. В. Ковалева, В. В. Иванова, В. А. Лялина) - М: ООО «тк велби», 2003.</w:t>
      </w:r>
    </w:p>
    <w:p w14:paraId="22B75D32" w14:textId="77777777" w:rsidR="00C24733" w:rsidRPr="00C24733" w:rsidRDefault="00C24733" w:rsidP="00C24733">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i/>
          <w:iCs/>
          <w:color w:val="000000"/>
          <w:sz w:val="20"/>
          <w:szCs w:val="20"/>
          <w:lang w:eastAsia="ru-RU"/>
        </w:rPr>
        <w:t>Ковалев В. В. </w:t>
      </w:r>
      <w:r w:rsidRPr="00C24733">
        <w:rPr>
          <w:rFonts w:ascii="Arial" w:eastAsia="Times New Roman" w:hAnsi="Arial" w:cs="Arial"/>
          <w:color w:val="000000"/>
          <w:sz w:val="20"/>
          <w:szCs w:val="20"/>
          <w:lang w:eastAsia="ru-RU"/>
        </w:rPr>
        <w:t>Методы оценки инвестиционных проектов. - м.: Финансы и статистика, 2003.</w:t>
      </w:r>
    </w:p>
    <w:p w14:paraId="6F7F1D54" w14:textId="77777777" w:rsidR="00C24733" w:rsidRPr="00C24733" w:rsidRDefault="00C24733" w:rsidP="00C24733">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i/>
          <w:iCs/>
          <w:color w:val="000000"/>
          <w:sz w:val="20"/>
          <w:szCs w:val="20"/>
          <w:lang w:eastAsia="ru-RU"/>
        </w:rPr>
        <w:t>Липсиц И. В., Коссов В. В. </w:t>
      </w:r>
      <w:r w:rsidRPr="00C24733">
        <w:rPr>
          <w:rFonts w:ascii="Arial" w:eastAsia="Times New Roman" w:hAnsi="Arial" w:cs="Arial"/>
          <w:color w:val="000000"/>
          <w:sz w:val="20"/>
          <w:szCs w:val="20"/>
          <w:lang w:eastAsia="ru-RU"/>
        </w:rPr>
        <w:t>Инвестиционный проект. - М.: 1996.</w:t>
      </w:r>
    </w:p>
    <w:p w14:paraId="7A951B5E" w14:textId="77777777" w:rsidR="00C24733" w:rsidRPr="00C24733" w:rsidRDefault="00C24733" w:rsidP="00C24733">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color w:val="000000"/>
          <w:sz w:val="20"/>
          <w:szCs w:val="20"/>
          <w:lang w:eastAsia="ru-RU"/>
        </w:rPr>
        <w:t>Методические рекомендации по оценке эффективности инвестиционных проектов (вторая редакция). Официальное издание. - М.: Экономика, 2000.</w:t>
      </w:r>
    </w:p>
    <w:p w14:paraId="4547EF17" w14:textId="77777777" w:rsidR="00C24733" w:rsidRPr="00C24733" w:rsidRDefault="00C24733" w:rsidP="00C24733">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24733">
        <w:rPr>
          <w:rFonts w:ascii="Arial" w:eastAsia="Times New Roman" w:hAnsi="Arial" w:cs="Arial"/>
          <w:i/>
          <w:iCs/>
          <w:color w:val="000000"/>
          <w:sz w:val="20"/>
          <w:szCs w:val="20"/>
          <w:lang w:eastAsia="ru-RU"/>
        </w:rPr>
        <w:t>Непомнящий Е. Г. </w:t>
      </w:r>
      <w:r w:rsidRPr="00C24733">
        <w:rPr>
          <w:rFonts w:ascii="Arial" w:eastAsia="Times New Roman" w:hAnsi="Arial" w:cs="Arial"/>
          <w:color w:val="000000"/>
          <w:sz w:val="20"/>
          <w:szCs w:val="20"/>
          <w:lang w:eastAsia="ru-RU"/>
        </w:rPr>
        <w:t>Инвестиционное проектирование. - Таганрог: Изд-во ТРТУ, 2003.</w:t>
      </w:r>
    </w:p>
    <w:p w14:paraId="5C3E8298"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90A2F"/>
    <w:multiLevelType w:val="multilevel"/>
    <w:tmpl w:val="BD4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35529"/>
    <w:multiLevelType w:val="multilevel"/>
    <w:tmpl w:val="A05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B50C3"/>
    <w:multiLevelType w:val="multilevel"/>
    <w:tmpl w:val="028C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83EDD"/>
    <w:multiLevelType w:val="multilevel"/>
    <w:tmpl w:val="CBDE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9792C"/>
    <w:multiLevelType w:val="multilevel"/>
    <w:tmpl w:val="CBE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3D2E4F"/>
    <w:multiLevelType w:val="multilevel"/>
    <w:tmpl w:val="A460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733"/>
    <w:rsid w:val="006C0B77"/>
    <w:rsid w:val="008242FF"/>
    <w:rsid w:val="00870751"/>
    <w:rsid w:val="00922C48"/>
    <w:rsid w:val="00B915B7"/>
    <w:rsid w:val="00C2473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EEAC8"/>
  <w15:chartTrackingRefBased/>
  <w15:docId w15:val="{4CFAAFDA-2547-4DF9-A8B0-5B7985EAC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C24733"/>
    <w:pPr>
      <w:spacing w:before="100" w:beforeAutospacing="1" w:after="100" w:afterAutospacing="1"/>
      <w:outlineLvl w:val="0"/>
    </w:pPr>
    <w:rPr>
      <w:rFonts w:eastAsia="Times New Roman" w:cs="Times New Roman"/>
      <w:b/>
      <w:bCs/>
      <w:kern w:val="36"/>
      <w:sz w:val="48"/>
      <w:szCs w:val="48"/>
      <w:lang w:eastAsia="ru-RU"/>
    </w:rPr>
  </w:style>
  <w:style w:type="paragraph" w:styleId="3">
    <w:name w:val="heading 3"/>
    <w:basedOn w:val="a"/>
    <w:link w:val="30"/>
    <w:uiPriority w:val="9"/>
    <w:qFormat/>
    <w:rsid w:val="00C24733"/>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4733"/>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C24733"/>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24733"/>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C24733"/>
    <w:rPr>
      <w:b/>
      <w:bCs/>
    </w:rPr>
  </w:style>
  <w:style w:type="character" w:styleId="a5">
    <w:name w:val="Emphasis"/>
    <w:basedOn w:val="a0"/>
    <w:uiPriority w:val="20"/>
    <w:qFormat/>
    <w:rsid w:val="00C247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72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1516</Words>
  <Characters>8646</Characters>
  <Application>Microsoft Office Word</Application>
  <DocSecurity>0</DocSecurity>
  <Lines>72</Lines>
  <Paragraphs>20</Paragraphs>
  <ScaleCrop>false</ScaleCrop>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2025-11-25T12:37:00Z</dcterms:created>
  <dcterms:modified xsi:type="dcterms:W3CDTF">2025-11-25T12:38:00Z</dcterms:modified>
</cp:coreProperties>
</file>