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86DA9" w14:textId="77777777" w:rsidR="00B419F9" w:rsidRPr="00B419F9" w:rsidRDefault="00B419F9" w:rsidP="00B419F9">
      <w:pPr>
        <w:shd w:val="clear" w:color="auto" w:fill="FFFFFF"/>
        <w:spacing w:before="150" w:after="320"/>
        <w:jc w:val="center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B419F9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Величина физического износа объектов капитального строительства</w:t>
      </w:r>
    </w:p>
    <w:p w14:paraId="1483CDF4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right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Автор </w:t>
      </w:r>
      <w:hyperlink r:id="rId5" w:history="1">
        <w:r w:rsidRPr="00B419F9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ru-RU"/>
          </w:rPr>
          <w:t>Корсаков Р.О.</w:t>
        </w:r>
      </w:hyperlink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br/>
      </w:r>
      <w:hyperlink r:id="rId6" w:tgtFrame="_blank" w:history="1">
        <w:r w:rsidRPr="00B419F9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ru-RU"/>
          </w:rPr>
          <w:t>ГК Аверс</w:t>
        </w:r>
      </w:hyperlink>
    </w:p>
    <w:p w14:paraId="1F80D04D" w14:textId="77777777" w:rsidR="00B419F9" w:rsidRPr="00B419F9" w:rsidRDefault="00B419F9" w:rsidP="00B419F9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Цель исследования</w:t>
      </w:r>
    </w:p>
    <w:p w14:paraId="2BC3D877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Целью настоящего исследования является определение, для объектов капитального строительства (ОКС) Московской области, зависимости степени физического износа здания от фактического срока жизни объекта и его основных конструктивных материалов (материала стен), и получение модели (аппроксимирующего уравнения), позволяющей решить обратную задачу: определение уровня физического износа по конструктивному материалу и сроку «жизни» объекта.</w:t>
      </w:r>
    </w:p>
    <w:p w14:paraId="13541371" w14:textId="77777777" w:rsidR="00B419F9" w:rsidRPr="00B419F9" w:rsidRDefault="00B419F9" w:rsidP="00B419F9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Исходные материалы</w:t>
      </w:r>
    </w:p>
    <w:p w14:paraId="1B7A9119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Исходными данными послужили сведения технических паспортов ОКС, содержащиеся в базе данных МОБТИ (физически представляющей собой набор файлов *.xlsx), объединенной с данными Росреестра, и содержащей 1 880 147 записей (т.е. несколько менее 24% из 7 980 644 объектов кадастрового учета Московской области, участвующих в кадастровой оценке 2015 г.). Наименование полей Росреестра — стандартные (соответствуют идентификаторам данных в xmlфайлах информационного обмена), а расшифровка значений содержащихся в полях МОБТИ приведена ниже из сопроводительной таблицы к рассматриваемой базе данных.</w:t>
      </w:r>
    </w:p>
    <w:p w14:paraId="481D24A7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Данные ГУП МО «МОБТИ»</w:t>
      </w:r>
    </w:p>
    <w:p w14:paraId="2113F9D4" w14:textId="4C050211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4157CB0D" wp14:editId="534653AD">
            <wp:extent cx="5939790" cy="4178935"/>
            <wp:effectExtent l="0" t="0" r="3810" b="0"/>
            <wp:docPr id="26" name="Рисунок 26" descr="Величина физического износа объектов капитального строитель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еличина физического износа объектов капитального строительств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07B8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 полях – «CADASTRALNUMBER» — «KEYPARAMETER_VALUE» содержатся данные филиала ФГБУ «ФКП Росреестра» по Московской области (в исходной версии базы представлена таблица </w:t>
      </w: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включающая полный перечень полей, содержащихся в исходных xml-файлах Росреестра, однако, для целей настоящего исследования эти сведения не представляют интереса, а перечисленные – используются, в основном, для контроля), в полях от «BLOCATION» до «BPARAMETER_VALUE» содержатся дополняющие данные ГУП МО «МОБТИ» по соответствующим объектам кадастрового учета.</w:t>
      </w:r>
    </w:p>
    <w:p w14:paraId="1688DF2F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таблице ниже представлен характер наполнения базы данных, с учетом наличия текстовых и числовых величин (для последних определены среднее – минимальное – максимальное значения).</w:t>
      </w:r>
    </w:p>
    <w:p w14:paraId="1BE6D08A" w14:textId="1CD6F30B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01577EE" wp14:editId="3AD1C748">
            <wp:extent cx="5939790" cy="4441825"/>
            <wp:effectExtent l="0" t="0" r="3810" b="0"/>
            <wp:docPr id="25" name="Рисунок 25" descr="Корсаков Р.О. ГК Авер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орсаков Р.О. ГК Аверс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F609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Как можно видеть по минимальным и максимальным значениям числовых полей, данные не свободны от ошибок и артефактов различного рода (например, в данных поля «этажность» явно присутствуют года постройки объекта; в полях «год …» наличествуют значения «прошедших и будущих тысячелетий» и т.п.). Количество ошибочных данных невелико – до сотен и, по нашему мнению не оказывает сколь либо существенного влияния на итоговый результат обработки десятков и сотен тысяч значений, поэтому проводилась лишь предварительная обработка («чистка») исходной базы, на предмет исключения значений противоречащих здравому смыслу.</w:t>
      </w:r>
    </w:p>
    <w:p w14:paraId="6B1D57B6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настоящего исследования использованы данные следующих полей: BWALL; BYEAR_BUILT; BYEAR_USED; BIZNOS_DATE; BIZNOS_VALUE.</w:t>
      </w:r>
    </w:p>
    <w:p w14:paraId="5FBAD3E8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BWALL — материал стен в виде текстового описателя, значительно отличается от кодировки признака WALL (в справочнике он поименован как «dWall») Росреестра, насчитывающей 31 вариант числового кода, соответствующего определенному описанию материала стен (см. таблицу ниже).</w:t>
      </w:r>
    </w:p>
    <w:p w14:paraId="1D605B27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Таблица 1 Перечень наименований материалов наружных стен здания, применяемый при ведении Единого государственного реестра объектов капитального строительства (dWall)</w:t>
      </w:r>
    </w:p>
    <w:p w14:paraId="1495A1EA" w14:textId="6EA3DADB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32A6C6DE" wp14:editId="0F9BFF75">
            <wp:extent cx="5939790" cy="8467725"/>
            <wp:effectExtent l="0" t="0" r="3810" b="9525"/>
            <wp:docPr id="24" name="Рисунок 24" descr=" Перечень наименований материалов наружных стен здания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Перечень наименований материалов наружных стен здания,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46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5111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частности, поле BWALL дополняющих данных может быть заполнено как в соответствии с порядком перечисления конструктивных элементов здания в типовом техническом паспорте, например (сохранена орфография источника, используются не самые краткие описания):</w:t>
      </w:r>
    </w:p>
    <w:p w14:paraId="553FE8D1" w14:textId="77777777" w:rsidR="00B419F9" w:rsidRPr="00B419F9" w:rsidRDefault="00B419F9" w:rsidP="00B419F9">
      <w:pPr>
        <w:shd w:val="clear" w:color="auto" w:fill="FFFFFF"/>
        <w:spacing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lastRenderedPageBreak/>
        <w:t>«ленточн из бет блоков, из сборн ж/б фунд блоков, барьер — в 1 кирпич, барьер — в 1 кирпич, барьер — металл реш, барьер — в 1 кирпич, барьер — в 1 кирпич, барьер — в 1 кирпич, в 0,5 кир сплошной на кирп ст с устройством цоколя»</w:t>
      </w:r>
    </w:p>
    <w:p w14:paraId="0FD38C7F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так и в порядке несколько отличном от привычного:</w:t>
      </w:r>
    </w:p>
    <w:p w14:paraId="41C18D33" w14:textId="77777777" w:rsidR="00B419F9" w:rsidRPr="00B419F9" w:rsidRDefault="00B419F9" w:rsidP="00B419F9">
      <w:pPr>
        <w:shd w:val="clear" w:color="auto" w:fill="FFFFFF"/>
        <w:spacing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«АГВ 80 кв 3,металл рифленный в железных столбах, металл рифленный в железных столбах, Двойные тесовые, Бревенчатые, Кирпичные, Тесовые, Кирпичные, Тесовая, Бревенчатые, бревенчатые, кирпичные, бетонные, кирпичные»;</w:t>
      </w:r>
    </w:p>
    <w:p w14:paraId="3952A5AF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либо:</w:t>
      </w:r>
    </w:p>
    <w:p w14:paraId="32AB0158" w14:textId="77777777" w:rsidR="00B419F9" w:rsidRPr="00B419F9" w:rsidRDefault="00B419F9" w:rsidP="00B419F9">
      <w:pPr>
        <w:shd w:val="clear" w:color="auto" w:fill="FFFFFF"/>
        <w:spacing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«штакетный, горбыль, сплошной забор из нестроган. досок, тес в разбежку, от электроводонагревателя, кирпичные, бетонное, бревенчатые, бревенчатые, бревенчатые, 1 тес, кирпичные, 1 тес, металлические, бревенчатые, 1 водяное отопление от АОГВ-17-4-3».</w:t>
      </w:r>
    </w:p>
    <w:p w14:paraId="655F4D7B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в первом случае более-менее понятно, что речь идет о кирпичном здании на фундаменте из ж/б блоков, то для 2-3 описания собственно материал стен характеризуемого здания не столь очевиден – описания начинаются то с наличия в доме АГВ, то с ограждения участка забором из штакетника и горбыля, и только где-то в середине фразы мелькает описание, которое можно отнести на счет стен – «бревенчатые, кирпичные, бетонные», «кирпичные, бетонное, бревенчатые», – возможно речь идет о здании со стенами из смешанных материалов, а возможно перечислены дополнительные характеристики хозяйственных построек, либо разнородные части единого здания. В отличие от 31 варианта кодов материала стен Росреестра количество уникальных вариантов записей в поле BWALL составляет 419 996 для зданий, и 10 345 для сооружений.</w:t>
      </w:r>
    </w:p>
    <w:p w14:paraId="142C5096" w14:textId="77777777" w:rsidR="00B419F9" w:rsidRPr="00B419F9" w:rsidRDefault="00B419F9" w:rsidP="00B419F9">
      <w:pPr>
        <w:shd w:val="clear" w:color="auto" w:fill="FFFFFF"/>
        <w:spacing w:before="150" w:after="320"/>
        <w:jc w:val="both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Разделение выборки по классам конструктивных систем (КС)</w:t>
      </w:r>
    </w:p>
    <w:p w14:paraId="031C495C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Поскольку определение стоимости замещения объектов оценки предполагается проводить с использованием расценок приводимых в изданиях серии «Справочник оценщика» («КОИНВЕСТ»), следует проанализировать характер физического износа для объектов, которые возможно отнести к той или иной конструктивной системе. Разделение всех объектов-аналогов на конструктивные системы является авторской разработкой компании «КО-ИНВЕСТ», по мнению ее создателей, получившей широкое распространение. В справочнике указывается тип конструктивной системы в соответствии с классификацией, принятой в изданиях серии «Справочник оценщика» и информационно-аналитическом бюллетене «Индексы цен в строительстве».</w:t>
      </w: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Ниже приводится слегка измененная (по структуре) таблица описания конструктивных систем с их кодами, размещаемая в каждом издании Справочника (например: в разделе «Информационная основа и принципы построения изданий КО-ИНВЕСТ серии «Справочник оценщика», «Общественные здания» — 2014; с.15.)</w:t>
      </w:r>
    </w:p>
    <w:p w14:paraId="6F37111B" w14:textId="345C844A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43281195" wp14:editId="1E04AC8E">
            <wp:extent cx="5939790" cy="4719955"/>
            <wp:effectExtent l="0" t="0" r="3810" b="4445"/>
            <wp:docPr id="23" name="Рисунок 23" descr="таблица описания конструктивных систем с их код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таблица описания конструктивных систем с их кодам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2BFA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Собственно процесс классификации, т.е. отнесения объекта к тому или иному классу конструктивной системы, реализован в виде программы на VBA, алгоритм которой предполагает подсчет количества упоминаний материалов характеризующих класс КС, и присвоение объекту по максимальному (или первому, при равенстве) количеству, соответствующего кода КС, там где это возможно, исходя из содержания текстового описателя (например: такие лапидарные описатели как (дословно): «шалаш»; «хол. камера»; «фундамент гаража» не содержат информации о материалах из которых выполнен объект, и соответственно невозможно их уверенное отнесение к определенной КС).</w:t>
      </w:r>
    </w:p>
    <w:p w14:paraId="1EDBE745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Результатом классификации по КС явилось разделение выборки на подвыборки в соответствии с определенным классом качества:</w:t>
      </w:r>
    </w:p>
    <w:p w14:paraId="7544068C" w14:textId="31D31102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3376049" wp14:editId="013D903C">
            <wp:extent cx="5939790" cy="9249410"/>
            <wp:effectExtent l="0" t="0" r="3810" b="8890"/>
            <wp:docPr id="22" name="Рисунок 22" descr="классификации по К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лассификации по К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24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29CF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При этом стоит упомянуть, что не все результаты класса КС соотносятся с возрастом и износом здания (т.е. некоторые объекты не имеют сведений о годах постройки, или ввода в эксплуатацию, либо эти данные заведомо являются ошибочными – например, величина износа в 30768 («Износ основной литеры», по смыслу данных в колонке – в процентах).</w:t>
      </w:r>
    </w:p>
    <w:p w14:paraId="469CDB44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полученных файлах-подвыборках был рассчитан возраст объекта оценки на дату инвентаризации, соответствующую, по принятому допущению, моменту определения физического износа, отраженного в базе данных. Затем, для получения генерализованного результата, проводилось осреднение определений (значений) физического износа по интервалам в один год. На нижеприведенных гистограммах приведено распределение объектов по срокам фактической жизни (интервал – 5 лет).</w:t>
      </w:r>
    </w:p>
    <w:p w14:paraId="0A949D38" w14:textId="78DE14B4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E75C496" wp14:editId="4BBEFC33">
            <wp:extent cx="5939790" cy="3536315"/>
            <wp:effectExtent l="0" t="0" r="3810" b="6985"/>
            <wp:docPr id="21" name="Рисунок 21" descr="распределение объектов по срокам фактической жиз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аспределение объектов по срокам фактической жизн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14D6" w14:textId="53A85EA2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7036FE7" wp14:editId="028C1904">
            <wp:extent cx="5939790" cy="3507105"/>
            <wp:effectExtent l="0" t="0" r="3810" b="0"/>
            <wp:docPr id="20" name="Рисунок 20" descr="распределение объектов по срокам фактической жизни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аспределение объектов по срокам фактической жизни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FEA7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Среднее значение года строительства, рассчитанное по совокупным данным МОБТИ и Росреестра (эти данные не всегда совпадают, и часто дополняют друг друга), составляет 1980 (год).</w:t>
      </w:r>
    </w:p>
    <w:p w14:paraId="56352D40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Анализ результатов данного этапа позволил прийти к выводу, что выборки объемом менее 1000 значений недостаточно четко описывают общую тенденцию подгруппы (сильное рассеивание исходных данных в плоскости «возраст-износ» не позволяет получить зависимость с высокими прогностическими свойствами, что отражается низким коэффициентом детерминации), в связи с чем, данные соответствующих подгрупп (КС-5, КС-10, КС-14) были исключены из дальнейшего рассмотрения.</w:t>
      </w:r>
    </w:p>
    <w:p w14:paraId="5115E64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Остальные подвыборки демонстрируют четко выраженную, нелинейную зависимость величины физического износа от возраста ОКС.</w:t>
      </w:r>
    </w:p>
    <w:p w14:paraId="502F7566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приведенном ниже графике, для объектов с КС-1 (кирпичные стены), отображены две зависящих от фактического срока жизни объектов характеристики: общее количество зданий указанного конструктивного класса, выраженное в % общего количества(514 573 объекта, с известным возрастом) и величину их физического износа, %:</w:t>
      </w:r>
    </w:p>
    <w:p w14:paraId="47B7BAD2" w14:textId="7D0BAFBE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59E8E0B6" wp14:editId="34B41EBB">
            <wp:extent cx="5939790" cy="3799205"/>
            <wp:effectExtent l="0" t="0" r="3810" b="0"/>
            <wp:docPr id="19" name="Рисунок 19" descr="для объектов с КС-1 (кирпичные стены), отображены две зависящих от фактического срока жизни объектов характерис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для объектов с КС-1 (кирпичные стены), отображены две зависящих от фактического срока жизни объектов характеристик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F249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Некоторое недоумение вызывает избыточно высокая (по нашему мнению) доля «новых» объектов – около 58%. Это может быть результатом того, что в качестве даты их постройки ошибочно указана дата инвентаризации, или иных неточностей, в пользу чего говорит и высокий учтенный износ этих объектов – в среднем около 16%. Таки образом, эта точка распределения содержит заведомые ошибки, и исключена нами из построения модели физического износа. На графике собственно величины износа, заметно, что при достижении определенного возраста (в данном случае — 95 лет), отмечается устойчивое снижение величин износа. Это может быть как результатом неучтенных (в полях YEAR_USED, BYEAR_USED) дат капитального ремонта, резко снижающего физический износ здания, так и некоторых технических ошибок, искусственно удлиняющих расчетный срок существования объекта(в частности, это может быть связано с особенностью конвертации дат в табличном процессоре Эксель, где величина «0» (- не слишком удачный вариант маркировки отсутствия данных) соответствует «дате» «00.01.1900», что при последующем усечении стандартными функциями до года, создаст ошибочную дату постройки — 1900 год.). При этом, по характеру верхней кумулятивной кривой распределения количества зданий по сроку их жизни, можно видеть, что данное «зашумление» охватывает лишь 0,5% от общего количества охарактеризованных объектов, и, следовательно, без ущерба для результата может быть исключено из построения модели, в первую очередь из-за противоречия теоретическим представлениям о характере накопления износа материальными объектами, в общем случае описываемого семейством т.н. логистических (сигмоидальных; S- ) кривых (см. например описание </w:t>
      </w:r>
      <w:hyperlink r:id="rId15" w:history="1">
        <w:r w:rsidRPr="00B419F9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https://ru.wikipedia.org/wiki/Сигмоида</w:t>
        </w:r>
      </w:hyperlink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).</w:t>
      </w:r>
    </w:p>
    <w:p w14:paraId="4A09DF38" w14:textId="77777777" w:rsidR="00B419F9" w:rsidRPr="00B419F9" w:rsidRDefault="00B419F9" w:rsidP="00B419F9">
      <w:pPr>
        <w:shd w:val="clear" w:color="auto" w:fill="FFFFFF"/>
        <w:spacing w:before="150" w:after="320"/>
        <w:jc w:val="both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Выбор характеризующего уравнения износа</w:t>
      </w:r>
    </w:p>
    <w:p w14:paraId="77C53531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подбора оптимального уравнения связи «возраст – физический износ», был использован программный продукт TableCutve 2D</w:t>
      </w: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 </w:t>
      </w: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v2.03(продукт компании Jandel Scientific (San Rafael, CA, USA), см. </w:t>
      </w:r>
      <w:hyperlink r:id="rId16" w:history="1">
        <w:r w:rsidRPr="00B419F9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https://en.wikipedia.org/wiki/TableCurve_2D</w:t>
        </w:r>
      </w:hyperlink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). Данная программа позволяет исследовать характер связи двумерного распределения первичных данных посредством вычисления характеристик и коэффициентов нескольких тысяч функций различных типов, объединенных в десяток семейств. </w:t>
      </w: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Критерием выбора характеризующей функции, описывающей модель физического износа в исследуемых классах КС (подвыборках), нами выбраны 3 показателя:</w:t>
      </w:r>
    </w:p>
    <w:p w14:paraId="63968E70" w14:textId="77777777" w:rsidR="00B419F9" w:rsidRPr="00B419F9" w:rsidRDefault="00B419F9" w:rsidP="00B419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Уровень коэффициента детерминации (R2 );</w:t>
      </w:r>
    </w:p>
    <w:p w14:paraId="21E33F6C" w14:textId="77777777" w:rsidR="00B419F9" w:rsidRPr="00B419F9" w:rsidRDefault="00B419F9" w:rsidP="00B419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Соответствие результирующей кривой теоретическим представлениям о старении физического объекта (накопление износа во времени);</w:t>
      </w:r>
    </w:p>
    <w:p w14:paraId="2604D8D2" w14:textId="77777777" w:rsidR="00B419F9" w:rsidRPr="00B419F9" w:rsidRDefault="00B419F9" w:rsidP="00B419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Относительная простота уравнения связи.</w:t>
      </w:r>
    </w:p>
    <w:p w14:paraId="22FEA7D0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результате анализа перечня возможных решений, сгенерированного программой, в качестве основной модели было выбрано полиномиальное уравнение вида:</w:t>
      </w:r>
    </w:p>
    <w:p w14:paraId="1E78A0E5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RU"/>
        </w:rPr>
        <w:t>y^(0.5)=a+bx+cx^2+dx^3</w:t>
      </w:r>
    </w:p>
    <w:p w14:paraId="14C12BDD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</w:t>
      </w:r>
      <w:r w:rsidRPr="00B419F9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:</w:t>
      </w:r>
    </w:p>
    <w:p w14:paraId="51BC7960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X – фактический срок жизни ОКС, лет;</w:t>
      </w:r>
    </w:p>
    <w:p w14:paraId="46894BA4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Y – величина физического износа, %;</w:t>
      </w:r>
    </w:p>
    <w:p w14:paraId="1C279E68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a, b, c, d – коэффициенты полинома.</w:t>
      </w:r>
    </w:p>
    <w:p w14:paraId="36F4CEBA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Общий вид уравнения связи для подвыборки КС-1 приведен на рисунке ниже.</w:t>
      </w:r>
    </w:p>
    <w:p w14:paraId="68AB9254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КС-1: Ограждающие конструкции — кирпич; несущие — железобетон, сталь</w:t>
      </w:r>
    </w:p>
    <w:p w14:paraId="19199BC6" w14:textId="5E6EA790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56018041" wp14:editId="6585F0AA">
            <wp:extent cx="5939790" cy="4683125"/>
            <wp:effectExtent l="0" t="0" r="3810" b="3175"/>
            <wp:docPr id="18" name="Рисунок 18" descr="полиномиальное уравнение ви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олиномиальное уравнение вид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9CD0E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lastRenderedPageBreak/>
        <w:t>Рисунок 1 Общий вид графика уравнения связи для КС-1</w:t>
      </w:r>
    </w:p>
    <w:p w14:paraId="09BC4890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 оси абсцисс расположен возраст ОКС в годах, по оси ординат – величина физического износа в долях единицы. Левая часть кривой, для возраста объекта менее 0, не имеет физического смысла. Правая, экстраполирующая, часть кривой демонстрирует резкое накопление износа объектами на интервале 120-150 лет, что соответствует представлениям о ветшании конструкций здания не подвергавшегося капитальному ремонту, даже при условии проведения своевременных текущих ремонтных и регламентных работ.</w:t>
      </w:r>
    </w:p>
    <w:p w14:paraId="173871D0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Ниже приводятся результаты для прочих классов КС. Следует обратить внимание, что для класса КС-12 использован тот же полином, но меньшего (второго) порядка; а для класса КС-13 подобрано уравнение, использующее при Y функцию Ln(), вместо степенной с показателем 0,5.</w:t>
      </w:r>
    </w:p>
    <w:p w14:paraId="6B73068F" w14:textId="2974F63B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2A22B29" wp14:editId="10FF33DA">
            <wp:extent cx="5939790" cy="4712335"/>
            <wp:effectExtent l="0" t="0" r="3810" b="0"/>
            <wp:docPr id="17" name="Рисунок 17" descr="Вид и характеристики модели физического износа для КС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Вид и характеристики модели физического износа для КС-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9F86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2 Вид и характеристики модели физического износа для КС-1</w:t>
      </w:r>
    </w:p>
    <w:p w14:paraId="5627B005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КС-3: Ограждающие конструкции — железобетон; несущие — железобетон в бескаркасных системах</w:t>
      </w:r>
    </w:p>
    <w:p w14:paraId="4B988F93" w14:textId="0E8862C6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25E8CCC" wp14:editId="2EC9CB48">
            <wp:extent cx="5939790" cy="4719955"/>
            <wp:effectExtent l="0" t="0" r="3810" b="4445"/>
            <wp:docPr id="16" name="Рисунок 16" descr="Общий вид графика уравнения связи для КС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Общий вид графика уравнения связи для КС-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D97D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3 Общий вид графика уравнения связи для КС-3</w:t>
      </w:r>
    </w:p>
    <w:p w14:paraId="524C5724" w14:textId="7BD93A71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304C6433" wp14:editId="24160562">
            <wp:extent cx="5939790" cy="4602480"/>
            <wp:effectExtent l="0" t="0" r="3810" b="7620"/>
            <wp:docPr id="15" name="Рисунок 15" descr="Вид и характеристики модели физического износа для КС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Вид и характеристики модели физического износа для КС-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EBE6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4 Вид и характеристики модели физического износа для КС-3</w:t>
      </w:r>
    </w:p>
    <w:p w14:paraId="0BE1BF02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КС-4: Ограждающие конструкции — железобетон; несущие — железобетон в каркасных системах</w:t>
      </w:r>
    </w:p>
    <w:p w14:paraId="6E696B24" w14:textId="4473C51F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DACB631" wp14:editId="5775275B">
            <wp:extent cx="5939790" cy="4909820"/>
            <wp:effectExtent l="0" t="0" r="3810" b="5080"/>
            <wp:docPr id="14" name="Рисунок 14" descr="Общий вид графика уравнения связи для КС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Общий вид графика уравнения связи для КС-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45DA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5 Общий вид графика уравнения связи для КС-4</w:t>
      </w:r>
    </w:p>
    <w:p w14:paraId="05C4AD1E" w14:textId="71986CDA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65D66272" wp14:editId="0278DBE4">
            <wp:extent cx="5939790" cy="4997450"/>
            <wp:effectExtent l="0" t="0" r="3810" b="0"/>
            <wp:docPr id="13" name="Рисунок 13" descr="Вид и характеристики модели физического износа для КС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Вид и характеристики модели физического износа для КС-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011B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6 Вид и характеристики модели физического износа для КС-4</w:t>
      </w:r>
    </w:p>
    <w:p w14:paraId="4A616544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КС-6: Ограждающие конструкции — тонкий металлический лист и эффективные теплоизоляционные материалы; несущие — железобетон, сталь</w:t>
      </w:r>
    </w:p>
    <w:p w14:paraId="1576B03B" w14:textId="7F6B6C7A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6C8B97F0" wp14:editId="76AA5428">
            <wp:extent cx="5939790" cy="4866005"/>
            <wp:effectExtent l="0" t="0" r="3810" b="0"/>
            <wp:docPr id="12" name="Рисунок 12" descr="Общий вид графика уравнения связи для КС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Общий вид графика уравнения связи для КС-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88B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7 Общий вид графика уравнения связи для КС-6</w:t>
      </w:r>
    </w:p>
    <w:p w14:paraId="70AFF685" w14:textId="4C5AA7D3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4250BAF0" wp14:editId="605C3498">
            <wp:extent cx="5939790" cy="4829175"/>
            <wp:effectExtent l="0" t="0" r="3810" b="9525"/>
            <wp:docPr id="11" name="Рисунок 11" descr="Вид и характеристики модели физического износа для КС-4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Вид и характеристики модели физического износа для КС-4-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2EB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8 Вид и характеристики модели физического износа для КС-4-6</w:t>
      </w:r>
    </w:p>
    <w:p w14:paraId="41B94F89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КС-7: Ограждающие конструкции — древесина; несущие — древесина и другие конструктивные материалы</w:t>
      </w:r>
    </w:p>
    <w:p w14:paraId="7D2D11AF" w14:textId="69B82A3F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2E2060A1" wp14:editId="100D4FB9">
            <wp:extent cx="5939790" cy="4778375"/>
            <wp:effectExtent l="0" t="0" r="3810" b="3175"/>
            <wp:docPr id="10" name="Рисунок 10" descr="Общий вид графика уравнения связи для КС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Общий вид графика уравнения связи для КС-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5B6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9 Общий вид графика уравнения связи для КС-7</w:t>
      </w:r>
    </w:p>
    <w:p w14:paraId="061AC5B3" w14:textId="1F6FE3A8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2B27D95B" wp14:editId="44C6F348">
            <wp:extent cx="5939790" cy="4902200"/>
            <wp:effectExtent l="0" t="0" r="3810" b="0"/>
            <wp:docPr id="9" name="Рисунок 9" descr="Вид и характеристики модели физического износа для КС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Вид и характеристики модели физического износа для КС-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2A9C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10 Вид и характеристики модели физического износа для КС-7</w:t>
      </w:r>
    </w:p>
    <w:p w14:paraId="62B2808E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КС-11: С преимущественным применением конструкционной стали</w:t>
      </w:r>
    </w:p>
    <w:p w14:paraId="74FAB846" w14:textId="226FB5D1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32CA3BDF" wp14:editId="14A8952E">
            <wp:extent cx="5939790" cy="4705350"/>
            <wp:effectExtent l="0" t="0" r="3810" b="0"/>
            <wp:docPr id="8" name="Рисунок 8" descr="Общий вид графика уравнения связи для КС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Общий вид графика уравнения связи для КС-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C5CD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11 Общий вид графика уравнения связи для КС-11</w:t>
      </w:r>
    </w:p>
    <w:p w14:paraId="2B01ED2F" w14:textId="6EF90E9E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13679C40" wp14:editId="2ABEA628">
            <wp:extent cx="5939790" cy="4778375"/>
            <wp:effectExtent l="0" t="0" r="3810" b="3175"/>
            <wp:docPr id="7" name="Рисунок 7" descr="Вид и характеристики модели физического износа для КС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Вид и характеристики модели физического износа для КС-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F87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12 Вид и характеристики модели физического износа для КС-11</w:t>
      </w:r>
    </w:p>
    <w:p w14:paraId="67EBF51E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КС-12: С преимущественным применением стальных труб</w:t>
      </w:r>
    </w:p>
    <w:p w14:paraId="62277995" w14:textId="2D22E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08E20C9C" wp14:editId="31693BAB">
            <wp:extent cx="5939790" cy="4756150"/>
            <wp:effectExtent l="0" t="0" r="3810" b="6350"/>
            <wp:docPr id="6" name="Рисунок 6" descr="Общий вид графика уравнения связи для КС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Общий вид графика уравнения связи для КС-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225F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13 Общий вид графика уравнения связи для КС-12</w:t>
      </w:r>
    </w:p>
    <w:p w14:paraId="2BE356CD" w14:textId="2536E37A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630A697A" wp14:editId="68411E5E">
            <wp:extent cx="5939790" cy="4887595"/>
            <wp:effectExtent l="0" t="0" r="3810" b="8255"/>
            <wp:docPr id="5" name="Рисунок 5" descr="Вид и характеристики модели физического износа для КС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Вид и характеристики модели физического износа для КС-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CA78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14 Вид и характеристики модели физического износа для КС-12</w:t>
      </w:r>
    </w:p>
    <w:p w14:paraId="66B528D2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КС-13: С преимущественным применением древесины</w:t>
      </w:r>
    </w:p>
    <w:p w14:paraId="4EEBE837" w14:textId="21B0454B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217D5EFD" wp14:editId="2E197528">
            <wp:extent cx="5939790" cy="4734560"/>
            <wp:effectExtent l="0" t="0" r="3810" b="8890"/>
            <wp:docPr id="4" name="Рисунок 4" descr="Общий вид графика уравнения связи для КС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Общий вид графика уравнения связи для КС-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5D59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15 Общий вид графика уравнения связи для КС-13</w:t>
      </w:r>
    </w:p>
    <w:p w14:paraId="4C61F13A" w14:textId="3E9C57BB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61B1D870" wp14:editId="1F168941">
            <wp:extent cx="5939790" cy="4836795"/>
            <wp:effectExtent l="0" t="0" r="3810" b="1905"/>
            <wp:docPr id="3" name="Рисунок 3" descr="Вид и характеристики модели физического износа для КС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Вид и характеристики модели физического износа для КС-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2C5D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16 Вид и характеристики модели физического износа для КС-13</w:t>
      </w:r>
    </w:p>
    <w:p w14:paraId="3E62D40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таблице ниже приведены виды уравнений моделей износа по исследованным классам конструктивных систем, величины соответствующего коэффициента детерминации, и значения коэффициентов полинома.</w:t>
      </w:r>
    </w:p>
    <w:p w14:paraId="706C43F7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практических целях, для групп по которым не проводились расчеты (по недостатку данных, или трудности разделения по краткому описанию между группами, например КС-1 и КС-1А), указано уравнение, которое по нашему мнению наиболее подходит (исходя из близости конструктивных решений) для данного классам конструктивных систем. Расчет физического износа для классов КС-14 – КС-15 может быть проведен по классической формуле Балашова, исходя из нормативного срока жизни объектов этих классов.</w:t>
      </w:r>
    </w:p>
    <w:p w14:paraId="04784283" w14:textId="0C807058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EC93A4B" wp14:editId="0AB99471">
            <wp:extent cx="5939790" cy="2052955"/>
            <wp:effectExtent l="0" t="0" r="3810" b="4445"/>
            <wp:docPr id="2" name="Рисунок 2" descr="Расчет физического износа для классов КС-14 - КС-15 по классической формуле Балаш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Расчет физического износа для классов КС-14 - КС-15 по классической формуле Балашов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3EBC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R2 – коэффициент детерминации;</w:t>
      </w:r>
    </w:p>
    <w:p w14:paraId="491F6D0A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a, b, c, d – значения соответствующих коэффициентов полинома.</w:t>
      </w:r>
    </w:p>
    <w:p w14:paraId="55A7020E" w14:textId="675C1166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08CE47E2" wp14:editId="50124133">
            <wp:extent cx="5939790" cy="5260340"/>
            <wp:effectExtent l="0" t="0" r="3810" b="0"/>
            <wp:docPr id="1" name="Рисунок 1" descr="Графическое отображение моделей физического износа по классам конструктивных систем КО-ИНВЕ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Графическое отображение моделей физического износа по классам конструктивных систем КО-ИНВЕС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C2BC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center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Рисунок 17 Графическое отображение моделей физического износа по классам конструктивных систем «КО-ИНВЕСТ» (по уравнениям из Таблица 2).</w:t>
      </w:r>
    </w:p>
    <w:p w14:paraId="35694C23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Полученный набор уравнений (моделей) физического износа, позволяет, в случае отсутствия прямого указания на величину физического износа объекта, определить, исходя из класса </w:t>
      </w: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конструктивной системы (в первую очередь — материала стен) и срока жизни (срок от даты строительства, либо, при наличии, даты капитального ремонта — до даты оценки), наиболее вероятную величину физического износа объекта.</w:t>
      </w:r>
    </w:p>
    <w:p w14:paraId="239AAA25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расчетах рекомендуется использовать допущение, что при превышении расчетным значением физического износа объекта величины 70%, используется значение 70%; а для разрушенных объектов, при массовой оценке, использовать величину износа 80% (если в «неформальном описании» — поле «Адрес описательный»(поля Name и Other узла Address исходных xml-фалов), присутствуют упоминания «разрушен», «руинирован», «сгорел» и т.п.).</w:t>
      </w:r>
    </w:p>
    <w:p w14:paraId="7F7E063C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Значительный объем исходных данных, использованных для расчета моделей, а так же их пространственное распределение – в границах всей Московской области – позволяет надеяться на применимость полученных моделей для оценок физического износа объектов капитального строительства по крайней мере в границах Европейской части Российской Федерации.</w:t>
      </w:r>
    </w:p>
    <w:p w14:paraId="20C21FDD" w14:textId="77777777" w:rsidR="00B419F9" w:rsidRPr="00B419F9" w:rsidRDefault="00B419F9" w:rsidP="00B419F9">
      <w:pPr>
        <w:shd w:val="clear" w:color="auto" w:fill="FFFFFF"/>
        <w:spacing w:before="100" w:beforeAutospacing="1" w:after="100" w:afterAutospacing="1"/>
        <w:jc w:val="right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Корсаков Р.О., 28.10.2015</w:t>
      </w:r>
      <w:r w:rsidRPr="00B419F9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br/>
      </w:r>
      <w:hyperlink r:id="rId35" w:history="1">
        <w:r w:rsidRPr="00B419F9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ru-RU"/>
          </w:rPr>
          <w:t>Источник</w:t>
        </w:r>
      </w:hyperlink>
    </w:p>
    <w:p w14:paraId="6ED94F7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15DEF"/>
    <w:multiLevelType w:val="multilevel"/>
    <w:tmpl w:val="AD2A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F9"/>
    <w:rsid w:val="006C0B77"/>
    <w:rsid w:val="008242FF"/>
    <w:rsid w:val="00870751"/>
    <w:rsid w:val="00922C48"/>
    <w:rsid w:val="00B419F9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E948"/>
  <w15:chartTrackingRefBased/>
  <w15:docId w15:val="{CFB4666D-94FC-43BC-B3CD-173DBECD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419F9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19F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19F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419F9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419F9"/>
    <w:pPr>
      <w:spacing w:before="100" w:beforeAutospacing="1" w:after="100" w:afterAutospacing="1"/>
      <w:outlineLvl w:val="4"/>
    </w:pPr>
    <w:rPr>
      <w:rFonts w:eastAsia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9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19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19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419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419F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B419F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419F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419F9"/>
    <w:rPr>
      <w:b/>
      <w:bCs/>
    </w:rPr>
  </w:style>
  <w:style w:type="character" w:styleId="a6">
    <w:name w:val="Emphasis"/>
    <w:basedOn w:val="a0"/>
    <w:uiPriority w:val="20"/>
    <w:qFormat/>
    <w:rsid w:val="00B419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0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hyperlink" Target="https://en.wikipedia.org/wiki/TableCurve_2D" TargetMode="External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hyperlink" Target="https://www.ocenchik.ru/site/met/pdf/2015-10-28-model-fizicheskogo-iznosa-oks-2015.pdf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hyperlink" Target="https://www.ocenchik.ru/author/95/korsakov/" TargetMode="External"/><Relationship Id="rId15" Type="http://schemas.openxmlformats.org/officeDocument/2006/relationships/hyperlink" Target="https://ru.wikipedia.org/wiki/%D0%A1%D0%B8%D0%B3%D0%BC%D0%BE%D0%B8%D0%B4%D0%B0" TargetMode="External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hyperlink" Target="https://www.ocenchik.ru/site/met/pdf/2015-10-28-model-fizicheskogo-iznosa-oks-2015.pdf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2446</Words>
  <Characters>13948</Characters>
  <Application>Microsoft Office Word</Application>
  <DocSecurity>0</DocSecurity>
  <Lines>116</Lines>
  <Paragraphs>32</Paragraphs>
  <ScaleCrop>false</ScaleCrop>
  <Company/>
  <LinksUpToDate>false</LinksUpToDate>
  <CharactersWithSpaces>16362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2025-11-25T12:23:00Z</dcterms:created>
  <dcterms:modified xsi:type="dcterms:W3CDTF">2025-11-25T12:23:00Z</dcterms:modified>
</cp:coreProperties>
</file>