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B9333" w14:textId="77777777" w:rsidR="00AA703F" w:rsidRPr="00AA703F" w:rsidRDefault="00AA703F" w:rsidP="00AA703F">
      <w:pPr>
        <w:shd w:val="clear" w:color="auto" w:fill="FFFFFF"/>
        <w:spacing w:before="150" w:after="320"/>
        <w:jc w:val="center"/>
        <w:outlineLvl w:val="0"/>
        <w:rPr>
          <w:rFonts w:ascii="Arial" w:eastAsia="Times New Roman" w:hAnsi="Arial" w:cs="Arial"/>
          <w:b/>
          <w:bCs/>
          <w:color w:val="014783"/>
          <w:kern w:val="36"/>
          <w:sz w:val="24"/>
          <w:szCs w:val="24"/>
          <w:lang w:eastAsia="ru-RU"/>
        </w:rPr>
      </w:pPr>
      <w:bookmarkStart w:id="0" w:name="_GoBack"/>
      <w:bookmarkEnd w:id="0"/>
      <w:r w:rsidRPr="00AA703F">
        <w:rPr>
          <w:rFonts w:ascii="Arial" w:eastAsia="Times New Roman" w:hAnsi="Arial" w:cs="Arial"/>
          <w:b/>
          <w:bCs/>
          <w:color w:val="014783"/>
          <w:kern w:val="36"/>
          <w:sz w:val="24"/>
          <w:szCs w:val="24"/>
          <w:lang w:eastAsia="ru-RU"/>
        </w:rPr>
        <w:t>О так называемом «Коэффициенте перехода на вторичный рынок», мифы и реальность</w:t>
      </w:r>
    </w:p>
    <w:p w14:paraId="6C0ACB4A" w14:textId="77777777" w:rsidR="00AA703F" w:rsidRPr="00AA703F" w:rsidRDefault="00AA703F" w:rsidP="00AA703F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Заблуждения в теории ведут к ошибкам на практике, при этом оценка, и в частности оценка МиО, не является исключением. К таким заблуждениям в первую очередь, возможно отнести так называемый </w:t>
      </w:r>
      <w:r w:rsidRPr="00AA703F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«Коэффициент перехода на вторичный рынок».</w:t>
      </w:r>
    </w:p>
    <w:p w14:paraId="7525C5D3" w14:textId="77777777" w:rsidR="00AA703F" w:rsidRPr="00AA703F" w:rsidRDefault="00AA703F" w:rsidP="00AA703F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Для изучения вопроса о «Коэффициенте перехода на вторичный рынок» логично обратиться к существующим на сегодняшний день источникам, активно пропагандирующим его применение в оценке МиО, при этом подводящие под это теоретическую базу и распространяющие на коммерческой основе его числовые значения. Основными известными источниками являются справочники Лейфера Л.А. и Яскевича Е.Е.</w:t>
      </w:r>
    </w:p>
    <w:p w14:paraId="452317E1" w14:textId="77777777" w:rsidR="00AA703F" w:rsidRPr="00AA703F" w:rsidRDefault="00AA703F" w:rsidP="00AA703F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 Справочнике оценщика машин и оборудования, Приволжский центр методического и информационного обеспечения оценки, под редакцией Л.А. Лейфер, Нижний Новгород, 2015, на стр.46, приведено следующее пояснение о сущности и применении в оценке «скидки на вторичный рынок»:</w:t>
      </w:r>
    </w:p>
    <w:p w14:paraId="6E57DFB0" w14:textId="77777777" w:rsidR="00AA703F" w:rsidRPr="00AA703F" w:rsidRDefault="00AA703F" w:rsidP="00AA703F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03F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«При проведении затратного подхода при оценке объектов машин и оборудования следует учитывать скидку при переходе на вторичный рынок. Данная скидка начинает действовать с момента передачи прав собственности на объект от производителя продавцу. Данная скидка распространяется на каждый объект один раз. Ее экономический смысл заключается в передаваемых рисках (возникновения скрытых дефектов при транспортировке, заводские браки и т.д.). В таблицах приведены значения скидок, выраженные в процентах от цены нового объекта на первичном рынке, заявленной производителем или дилером, что этот объект, будучи абсолютно новым, продается на вторичном рынке».</w:t>
      </w:r>
    </w:p>
    <w:p w14:paraId="3C2D51AF" w14:textId="77777777" w:rsidR="00AA703F" w:rsidRPr="00AA703F" w:rsidRDefault="00AA703F" w:rsidP="00AA703F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Алгоритм определения коэффициента перехода на вторичный рынок приведен на стр. 41 Справочника расчетных данных для оценки и консалтинга СРД-21, ноябрь 2017 г., Москва, 2017, ООО "Научно-практический Центр Профессиональной Оценки (НЦПО)", под редакцией к.т.н. Е.Е. Яскевича:</w:t>
      </w:r>
    </w:p>
    <w:p w14:paraId="31A36C09" w14:textId="77777777" w:rsidR="00AA703F" w:rsidRPr="00AA703F" w:rsidRDefault="00AA703F" w:rsidP="00AA703F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03F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«Коэффициенты перехода на вторичный рынок определялись по предложениям к продаже «нового» (Ц</w:t>
      </w:r>
      <w:r w:rsidRPr="00AA703F">
        <w:rPr>
          <w:rFonts w:ascii="Arial" w:eastAsia="Times New Roman" w:hAnsi="Arial" w:cs="Arial"/>
          <w:i/>
          <w:iCs/>
          <w:color w:val="000000"/>
          <w:sz w:val="20"/>
          <w:szCs w:val="20"/>
          <w:vertAlign w:val="subscript"/>
          <w:lang w:eastAsia="ru-RU"/>
        </w:rPr>
        <w:t>нового</w:t>
      </w:r>
      <w:r w:rsidRPr="00AA703F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) и «нового, не бывшего в эксплуатации» (Ц</w:t>
      </w:r>
      <w:r w:rsidRPr="00AA703F">
        <w:rPr>
          <w:rFonts w:ascii="Arial" w:eastAsia="Times New Roman" w:hAnsi="Arial" w:cs="Arial"/>
          <w:i/>
          <w:iCs/>
          <w:color w:val="000000"/>
          <w:sz w:val="20"/>
          <w:szCs w:val="20"/>
          <w:vertAlign w:val="subscript"/>
          <w:lang w:eastAsia="ru-RU"/>
        </w:rPr>
        <w:t>втор</w:t>
      </w:r>
      <w:r w:rsidRPr="00AA703F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) объекта. Отбирались объекты с разницей во времени изготовления свыше 1 года. Предполагалось, что для оферт коэффициенты уторгования сравнимы, физические и функциональные износы отсутствуют».</w:t>
      </w:r>
    </w:p>
    <w:p w14:paraId="6574575B" w14:textId="77777777" w:rsidR="00AA703F" w:rsidRPr="00AA703F" w:rsidRDefault="00AA703F" w:rsidP="00AA703F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Кроме этих двух концепций существования и применения описываемого коэффициента, существуют еще множество мнений от отнесения данного коэффициента к функциональному и экономическому устареванию до банальной скидке на торг.</w:t>
      </w:r>
    </w:p>
    <w:p w14:paraId="3B481FD7" w14:textId="77777777" w:rsidR="00AA703F" w:rsidRPr="00AA703F" w:rsidRDefault="00AA703F" w:rsidP="00AA703F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Все бы ничего, но по факту, пока одни подводят теоретическую базу, выкатывая из автосалона автомобиль и тут же его, продавая, а особо продвинутые умудряются его закатить обратно, при этом ставя банальный вопрос – земля круглая или нет, и при этом, делая неправильные выводы, другие (и их число по ощущениям неукоснительно растет) неправильно применяют теорию на практике, искажая тем самым итоговую рыночную стоимость. Ну и, конечно же, и третьи, которые в этой ситуации выселятся, либо зарабатывая на продаже значений этого пресловутого коэффициента, либо «управляя» получаемой стоимостью объекта оценки.</w:t>
      </w:r>
    </w:p>
    <w:p w14:paraId="58FA5684" w14:textId="77777777" w:rsidR="00AA703F" w:rsidRPr="00AA703F" w:rsidRDefault="00AA703F" w:rsidP="00AA703F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03F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eastAsia="ru-RU"/>
        </w:rPr>
        <w:t>Давайте попробуем разобраться.</w:t>
      </w:r>
    </w:p>
    <w:p w14:paraId="16D5F6DF" w14:textId="77777777" w:rsidR="00AA703F" w:rsidRPr="00AA703F" w:rsidRDefault="00AA703F" w:rsidP="00AA703F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lastRenderedPageBreak/>
        <w:t>Считаю верным предположение о том, что с момента изготовления (приобретения) имущества до момента начала его эксплуатации, происходит некое изменение стоимости имущества. Еще раз следует подчеркнуть, что речь идет о стоимости «нового» не бывшего в эксплуатации (употреблении, использовании) имущества. При этом ближе всего к истине в данном случае Яскевич Е.Е., единственное, в чем он заблуждается, это в предположении, что у объектов имущества, не бывших в эксплуатации, но обладающих хронологическим возрастом, </w:t>
      </w:r>
      <w:r w:rsidRPr="00AA703F">
        <w:rPr>
          <w:rFonts w:ascii="Arial" w:eastAsia="Times New Roman" w:hAnsi="Arial" w:cs="Arial"/>
          <w:color w:val="000000"/>
          <w:sz w:val="20"/>
          <w:szCs w:val="20"/>
          <w:u w:val="single"/>
          <w:lang w:eastAsia="ru-RU"/>
        </w:rPr>
        <w:t>отсутствует физический износ – это заблуждение, перешедшее в миф</w:t>
      </w: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.</w:t>
      </w:r>
    </w:p>
    <w:p w14:paraId="296C9896" w14:textId="77777777" w:rsidR="00AA703F" w:rsidRPr="00AA703F" w:rsidRDefault="00AA703F" w:rsidP="00AA703F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03F">
        <w:rPr>
          <w:rFonts w:ascii="Arial" w:eastAsia="Times New Roman" w:hAnsi="Arial" w:cs="Arial"/>
          <w:color w:val="000000"/>
          <w:sz w:val="20"/>
          <w:szCs w:val="20"/>
          <w:u w:val="single"/>
          <w:lang w:eastAsia="ru-RU"/>
        </w:rPr>
        <w:t>В реальности, понимая, что физический износ это функция времени, совершенно очевидно предполагать, что для одного и того же имущества, с течением времени (на разных этапах жизни) может меняться стоимость в результате физического износа в его экономическом понимании. Данный процесс проиллюстрирован на Рис. 1., где</w:t>
      </w: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:</w:t>
      </w:r>
    </w:p>
    <w:p w14:paraId="46268896" w14:textId="77777777" w:rsidR="00AA703F" w:rsidRPr="00AA703F" w:rsidRDefault="00AA703F" w:rsidP="00AA703F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</w:t>
      </w:r>
      <w:r w:rsidRPr="00AA703F">
        <w:rPr>
          <w:rFonts w:ascii="Arial" w:eastAsia="Times New Roman" w:hAnsi="Arial" w:cs="Arial"/>
          <w:color w:val="000000"/>
          <w:sz w:val="20"/>
          <w:szCs w:val="20"/>
          <w:vertAlign w:val="subscript"/>
          <w:lang w:eastAsia="ru-RU"/>
        </w:rPr>
        <w:t>нов</w:t>
      </w: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– стоимость «нового» имущества, не обладающего хронологическим возрастом, t = 0.</w:t>
      </w: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С</w:t>
      </w:r>
      <w:r w:rsidRPr="00AA703F">
        <w:rPr>
          <w:rFonts w:ascii="Arial" w:eastAsia="Times New Roman" w:hAnsi="Arial" w:cs="Arial"/>
          <w:color w:val="000000"/>
          <w:sz w:val="20"/>
          <w:szCs w:val="20"/>
          <w:vertAlign w:val="subscript"/>
          <w:lang w:eastAsia="ru-RU"/>
        </w:rPr>
        <w:t>нов, t1 </w:t>
      </w: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– стоимость «нового» имущества, имеющего хронологический возраст, t1 ≠ 0.</w:t>
      </w: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С</w:t>
      </w:r>
      <w:r w:rsidRPr="00AA703F">
        <w:rPr>
          <w:rFonts w:ascii="Arial" w:eastAsia="Times New Roman" w:hAnsi="Arial" w:cs="Arial"/>
          <w:color w:val="000000"/>
          <w:sz w:val="20"/>
          <w:szCs w:val="20"/>
          <w:vertAlign w:val="subscript"/>
          <w:lang w:eastAsia="ru-RU"/>
        </w:rPr>
        <w:t>бу, t2 </w:t>
      </w: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– стоимость бывшего в употреблении имущества, t2 ≠ 0.</w:t>
      </w:r>
    </w:p>
    <w:p w14:paraId="4F52B104" w14:textId="77777777" w:rsidR="00AA703F" w:rsidRPr="00AA703F" w:rsidRDefault="00AA703F" w:rsidP="00AA703F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При построении графика (см. рис.1) предполагалось, что рассматриваемое имущество находится на этапе эксплуатации, предварительно были пройдены циклы нахождения в состоянии «нового» при t = 0 и t1 ≠ 0. Для простоты восприятия график изменения стоимости был изображен линейно.</w:t>
      </w:r>
    </w:p>
    <w:p w14:paraId="325DCE15" w14:textId="4A4E4BD8" w:rsidR="00AA703F" w:rsidRPr="00AA703F" w:rsidRDefault="00AA703F" w:rsidP="00AA703F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03F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6D51BC40" wp14:editId="3C209DB0">
            <wp:extent cx="4632960" cy="3474720"/>
            <wp:effectExtent l="0" t="0" r="0" b="0"/>
            <wp:docPr id="10" name="Рисунок 10" descr="Коэффициенте перехода на вторичный рынок Белов В.Л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оэффициенте перехода на вторичный рынок Белов В.Л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7B71F" w14:textId="77777777" w:rsidR="00AA703F" w:rsidRPr="00AA703F" w:rsidRDefault="00AA703F" w:rsidP="00AA703F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03F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Рис.1</w:t>
      </w:r>
      <w:r w:rsidRPr="00AA703F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br/>
        <w:t>Зависимость стоимости имущества от времени в разрезе циклов жизни</w:t>
      </w:r>
    </w:p>
    <w:p w14:paraId="49F902A4" w14:textId="77777777" w:rsidR="00AA703F" w:rsidRPr="00AA703F" w:rsidRDefault="00AA703F" w:rsidP="00AA703F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Приведем формулу определений «коэффициента перехода на вторичный рынок» (источник: СРД-21, ноябрь 2017 г.)</w:t>
      </w:r>
    </w:p>
    <w:bookmarkStart w:id="1" w:name="_ftnref1"/>
    <w:p w14:paraId="70E73A5F" w14:textId="7CE88C36" w:rsidR="00AA703F" w:rsidRPr="00AA703F" w:rsidRDefault="00AA703F" w:rsidP="00AA703F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fldChar w:fldCharType="begin"/>
      </w: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instrText xml:space="preserve"> HYPERLINK "https://www.ocenchik.ru/docsm/3037-koefficient-perehoda-na-vtorichnyy-rynok.html" \l "_ftn1" \o "" </w:instrText>
      </w: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fldChar w:fldCharType="separate"/>
      </w:r>
      <w:r w:rsidRPr="00AA703F">
        <w:rPr>
          <w:rFonts w:ascii="Arial" w:eastAsia="Times New Roman" w:hAnsi="Arial" w:cs="Arial"/>
          <w:noProof/>
          <w:color w:val="0000FF"/>
          <w:sz w:val="20"/>
          <w:szCs w:val="20"/>
          <w:vertAlign w:val="superscript"/>
          <w:lang w:eastAsia="ru-RU"/>
        </w:rPr>
        <w:drawing>
          <wp:inline distT="0" distB="0" distL="0" distR="0" wp14:anchorId="73AFDD75" wp14:editId="6EA9A33F">
            <wp:extent cx="1303020" cy="480060"/>
            <wp:effectExtent l="0" t="0" r="0" b="0"/>
            <wp:docPr id="9" name="Рисунок 9">
              <a:hlinkClick xmlns:a="http://schemas.openxmlformats.org/drawingml/2006/main" r:id="rId6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>
                      <a:hlinkClick r:id="rId6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A703F">
        <w:rPr>
          <w:rFonts w:ascii="Arial" w:eastAsia="Times New Roman" w:hAnsi="Arial" w:cs="Arial"/>
          <w:color w:val="0000FF"/>
          <w:sz w:val="20"/>
          <w:szCs w:val="20"/>
          <w:u w:val="single"/>
          <w:vertAlign w:val="superscript"/>
          <w:lang w:eastAsia="ru-RU"/>
        </w:rPr>
        <w:t>[1]</w:t>
      </w: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fldChar w:fldCharType="end"/>
      </w:r>
      <w:bookmarkEnd w:id="1"/>
      <w:r w:rsidRPr="00AA703F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,</w:t>
      </w:r>
    </w:p>
    <w:p w14:paraId="71B744D2" w14:textId="77777777" w:rsidR="00AA703F" w:rsidRPr="00AA703F" w:rsidRDefault="00AA703F" w:rsidP="00AA703F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lastRenderedPageBreak/>
        <w:t>где:</w:t>
      </w:r>
    </w:p>
    <w:p w14:paraId="1ED8254D" w14:textId="77777777" w:rsidR="00AA703F" w:rsidRPr="00AA703F" w:rsidRDefault="00AA703F" w:rsidP="00AA703F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К</w:t>
      </w:r>
      <w:r w:rsidRPr="00AA703F">
        <w:rPr>
          <w:rFonts w:ascii="Arial" w:eastAsia="Times New Roman" w:hAnsi="Arial" w:cs="Arial"/>
          <w:color w:val="000000"/>
          <w:sz w:val="20"/>
          <w:szCs w:val="20"/>
          <w:vertAlign w:val="subscript"/>
          <w:lang w:eastAsia="ru-RU"/>
        </w:rPr>
        <w:t>пер</w:t>
      </w: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– «коэффициент перехода на вторичный рынок».</w:t>
      </w:r>
    </w:p>
    <w:p w14:paraId="651BBBEF" w14:textId="77777777" w:rsidR="00AA703F" w:rsidRPr="00AA703F" w:rsidRDefault="00AA703F" w:rsidP="00AA703F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Из предположения, что с наибольшей вероятность изменение стоимости рассматриваемого имущества при воздействии физического износа происходит по экспоненциальной зависимости, приведем ставшую классической формулу определения коэффициента физического износа:</w:t>
      </w:r>
    </w:p>
    <w:p w14:paraId="7405AC2B" w14:textId="46DE15D5" w:rsidR="00AA703F" w:rsidRPr="00AA703F" w:rsidRDefault="00AA703F" w:rsidP="00AA703F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03F">
        <w:rPr>
          <w:rFonts w:ascii="Arial" w:eastAsia="Times New Roman" w:hAnsi="Arial" w:cs="Arial"/>
          <w:b/>
          <w:bCs/>
          <w:noProof/>
          <w:color w:val="000000"/>
          <w:sz w:val="20"/>
          <w:szCs w:val="20"/>
          <w:lang w:eastAsia="ru-RU"/>
        </w:rPr>
        <w:drawing>
          <wp:inline distT="0" distB="0" distL="0" distR="0" wp14:anchorId="3CCFB53C" wp14:editId="72BC8F9B">
            <wp:extent cx="1607820" cy="4953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82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A703F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,</w:t>
      </w:r>
    </w:p>
    <w:p w14:paraId="18AAE07D" w14:textId="77777777" w:rsidR="00AA703F" w:rsidRPr="00AA703F" w:rsidRDefault="00AA703F" w:rsidP="00AA703F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где:</w:t>
      </w:r>
    </w:p>
    <w:p w14:paraId="6E72E06B" w14:textId="77777777" w:rsidR="00AA703F" w:rsidRPr="00AA703F" w:rsidRDefault="00AA703F" w:rsidP="00AA703F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К</w:t>
      </w:r>
      <w:r w:rsidRPr="00AA703F">
        <w:rPr>
          <w:rFonts w:ascii="Arial" w:eastAsia="Times New Roman" w:hAnsi="Arial" w:cs="Arial"/>
          <w:color w:val="000000"/>
          <w:sz w:val="20"/>
          <w:szCs w:val="20"/>
          <w:vertAlign w:val="subscript"/>
          <w:lang w:eastAsia="ru-RU"/>
        </w:rPr>
        <w:t>из.физ. </w:t>
      </w: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- коэффициент физического износа.</w:t>
      </w: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е = 2,72 – математическая константа, основание натурального логарифма.</w:t>
      </w: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Т</w:t>
      </w:r>
      <w:r w:rsidRPr="00AA703F">
        <w:rPr>
          <w:rFonts w:ascii="Arial" w:eastAsia="Times New Roman" w:hAnsi="Arial" w:cs="Arial"/>
          <w:color w:val="000000"/>
          <w:sz w:val="20"/>
          <w:szCs w:val="20"/>
          <w:vertAlign w:val="subscript"/>
          <w:lang w:eastAsia="ru-RU"/>
        </w:rPr>
        <w:t>хр</w:t>
      </w: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– хронологический возраст имущества с даты изготовления (при не существенном расхождении – с даты продажи «нового») до даты оценки.</w:t>
      </w: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Т</w:t>
      </w:r>
      <w:r w:rsidRPr="00AA703F">
        <w:rPr>
          <w:rFonts w:ascii="Arial" w:eastAsia="Times New Roman" w:hAnsi="Arial" w:cs="Arial"/>
          <w:color w:val="000000"/>
          <w:sz w:val="20"/>
          <w:szCs w:val="20"/>
          <w:vertAlign w:val="subscript"/>
          <w:lang w:eastAsia="ru-RU"/>
        </w:rPr>
        <w:t>сс</w:t>
      </w: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– срок службы имущества.</w:t>
      </w:r>
    </w:p>
    <w:p w14:paraId="48184DE0" w14:textId="77777777" w:rsidR="00AA703F" w:rsidRPr="00AA703F" w:rsidRDefault="00AA703F" w:rsidP="00AA703F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А теперь немного математики. Сначала определимся с расчетом «коэффициента перехода на вторичный рынок» через С</w:t>
      </w:r>
      <w:r w:rsidRPr="00AA703F">
        <w:rPr>
          <w:rFonts w:ascii="Arial" w:eastAsia="Times New Roman" w:hAnsi="Arial" w:cs="Arial"/>
          <w:color w:val="000000"/>
          <w:sz w:val="20"/>
          <w:szCs w:val="20"/>
          <w:vertAlign w:val="subscript"/>
          <w:lang w:eastAsia="ru-RU"/>
        </w:rPr>
        <w:t>нов, t1 </w:t>
      </w: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– стоимость «нового» имущества, имеющего хронологический возраст, t1 ≠ 0.</w:t>
      </w:r>
    </w:p>
    <w:p w14:paraId="67705E84" w14:textId="6876CC52" w:rsidR="00AA703F" w:rsidRPr="00AA703F" w:rsidRDefault="00AA703F" w:rsidP="00AA703F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03F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07688FA6" wp14:editId="7D455911">
            <wp:extent cx="5006340" cy="502920"/>
            <wp:effectExtent l="0" t="0" r="3810" b="0"/>
            <wp:docPr id="7" name="Рисунок 7" descr="Коэффициенте перехода на вторичный рынок Белов В.Л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Коэффициенте перехода на вторичный рынок Белов В.Л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6ED7B" w14:textId="77777777" w:rsidR="00AA703F" w:rsidRPr="00AA703F" w:rsidRDefault="00AA703F" w:rsidP="00AA703F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тогда:</w:t>
      </w:r>
    </w:p>
    <w:p w14:paraId="2231675F" w14:textId="5C576BF5" w:rsidR="00AA703F" w:rsidRPr="00AA703F" w:rsidRDefault="00AA703F" w:rsidP="00AA703F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03F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515B8668" wp14:editId="2707410E">
            <wp:extent cx="1409700" cy="449580"/>
            <wp:effectExtent l="0" t="0" r="0" b="7620"/>
            <wp:docPr id="6" name="Рисунок 6" descr="Коэффициенте перехода на вторичный рынок Белов В.Л. сбербанк лизин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Коэффициенте перехода на вторичный рынок Белов В.Л. сбербанк лизинг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75943" w14:textId="77777777" w:rsidR="00AA703F" w:rsidRPr="00AA703F" w:rsidRDefault="00AA703F" w:rsidP="00AA703F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Итак, судя по внешнему виду полученной зависимости, и что главное, по сути, </w:t>
      </w:r>
      <w:r w:rsidRPr="00AA703F">
        <w:rPr>
          <w:rFonts w:ascii="Arial" w:eastAsia="Times New Roman" w:hAnsi="Arial" w:cs="Arial"/>
          <w:color w:val="000000"/>
          <w:sz w:val="20"/>
          <w:szCs w:val="20"/>
          <w:u w:val="single"/>
          <w:lang w:eastAsia="ru-RU"/>
        </w:rPr>
        <w:t>«коэффициент перехода на вторичный рынок» это не что иное, как форма физического износа для имущества в «новом состоянии» до момента начала эксплуатации – это еще одна реальность,</w:t>
      </w: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где:</w:t>
      </w:r>
    </w:p>
    <w:p w14:paraId="1E08508F" w14:textId="77777777" w:rsidR="00AA703F" w:rsidRPr="00AA703F" w:rsidRDefault="00AA703F" w:rsidP="00AA703F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К</w:t>
      </w:r>
      <w:r w:rsidRPr="00AA703F">
        <w:rPr>
          <w:rFonts w:ascii="Arial" w:eastAsia="Times New Roman" w:hAnsi="Arial" w:cs="Arial"/>
          <w:color w:val="000000"/>
          <w:sz w:val="20"/>
          <w:szCs w:val="20"/>
          <w:vertAlign w:val="subscript"/>
          <w:lang w:eastAsia="ru-RU"/>
        </w:rPr>
        <w:t>пер</w:t>
      </w: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– «коэффициент перехода на вторичный рынок».</w:t>
      </w: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е = 2,72 – математическая константа, основание натурального логарифма.</w:t>
      </w: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t1– время цикла жизни имущества с даты изготовления (при не существенном расхождении – с даты продажи «нового») до даты ввода в эксплуатацию.</w:t>
      </w:r>
    </w:p>
    <w:p w14:paraId="40074309" w14:textId="77777777" w:rsidR="00AA703F" w:rsidRPr="00AA703F" w:rsidRDefault="00AA703F" w:rsidP="00AA703F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Примеры определения t1 для разных сценариев «жизни» имущества:</w:t>
      </w:r>
    </w:p>
    <w:p w14:paraId="71A375E0" w14:textId="77777777" w:rsidR="00AA703F" w:rsidRPr="00AA703F" w:rsidRDefault="00AA703F" w:rsidP="00AA703F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- </w:t>
      </w:r>
      <w:r w:rsidRPr="00AA703F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для имущества</w:t>
      </w: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</w:t>
      </w:r>
      <w:r w:rsidRPr="00AA703F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при не существенном расхождении между датой изготовления и датой продажи на момент, последующий за сделкой купли-продажи -</w:t>
      </w: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в соответствии с ликвидностью имущества в качестве t1 принимаем максимальное значение «рыночного» срока реализации (определяется или по результатам анализа рынка, или при использовании справочных данных). При этом логика следующая: после приобретения имущества в случае следующего шага нового собственника </w:t>
      </w:r>
      <w:r w:rsidRPr="00AA703F">
        <w:rPr>
          <w:rFonts w:ascii="Arial" w:eastAsia="Times New Roman" w:hAnsi="Arial" w:cs="Arial"/>
          <w:color w:val="000000"/>
          <w:sz w:val="20"/>
          <w:szCs w:val="20"/>
          <w:u w:val="single"/>
          <w:lang w:eastAsia="ru-RU"/>
        </w:rPr>
        <w:t>при не существенном промежутке времени</w:t>
      </w: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 между моментами приобретения имущества и принятия решения о его продажи, в соответствии с определением рыночной стоимости </w:t>
      </w: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lastRenderedPageBreak/>
        <w:t>потребуется рыночный срок экспозиции, это срок и идет в зачет хронологического возраста имущества.</w:t>
      </w:r>
    </w:p>
    <w:p w14:paraId="26EE08C3" w14:textId="77777777" w:rsidR="00AA703F" w:rsidRPr="00AA703F" w:rsidRDefault="00AA703F" w:rsidP="00AA703F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- </w:t>
      </w:r>
      <w:r w:rsidRPr="00AA703F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для имущества</w:t>
      </w: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</w:t>
      </w:r>
      <w:r w:rsidRPr="00AA703F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при существенном расхождении между датой изготовления и датой продажи на момент, последующий за сделкой купли-продажи –</w:t>
      </w: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все тоже самое, как и при первом варианте, только необходимо учесть срок между датой производства и датой продажи, если данный износ не учтен в цене определенной продавцом, и т.д.</w:t>
      </w:r>
    </w:p>
    <w:p w14:paraId="14D2FA62" w14:textId="77777777" w:rsidR="00AA703F" w:rsidRPr="00AA703F" w:rsidRDefault="00AA703F" w:rsidP="00AA703F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Т</w:t>
      </w:r>
      <w:r w:rsidRPr="00AA703F">
        <w:rPr>
          <w:rFonts w:ascii="Arial" w:eastAsia="Times New Roman" w:hAnsi="Arial" w:cs="Arial"/>
          <w:color w:val="000000"/>
          <w:sz w:val="20"/>
          <w:szCs w:val="20"/>
          <w:vertAlign w:val="subscript"/>
          <w:lang w:eastAsia="ru-RU"/>
        </w:rPr>
        <w:t>сс, ГКС</w:t>
      </w: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– срок службы имущества. В данной ситуации определяется по данным ГКС, как максимальный срок службы имущества учитывающий все циклы «жизни».</w:t>
      </w:r>
    </w:p>
    <w:p w14:paraId="7CDC3766" w14:textId="77777777" w:rsidR="00AA703F" w:rsidRPr="00AA703F" w:rsidRDefault="00AA703F" w:rsidP="00AA703F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Далее путем преобразования выше приведенных формул определяем итоговую формулу определения стоимости имущества в рамках затратного подхода с учетом «коэффициента перехода на вторичный рынок».</w:t>
      </w:r>
    </w:p>
    <w:p w14:paraId="27462DEE" w14:textId="10EAC524" w:rsidR="00AA703F" w:rsidRPr="00AA703F" w:rsidRDefault="00AA703F" w:rsidP="00AA703F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03F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3F4018FA" wp14:editId="24C0BBA1">
            <wp:extent cx="5939790" cy="486410"/>
            <wp:effectExtent l="0" t="0" r="3810" b="8890"/>
            <wp:docPr id="5" name="Рисунок 5" descr=" Белов В.Л. сбербанк лизин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 Белов В.Л. сбербанк лизинг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CD043" w14:textId="77777777" w:rsidR="00AA703F" w:rsidRPr="00AA703F" w:rsidRDefault="00AA703F" w:rsidP="00AA703F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тогда</w:t>
      </w:r>
    </w:p>
    <w:p w14:paraId="65AE7B25" w14:textId="107D186B" w:rsidR="00AA703F" w:rsidRPr="00AA703F" w:rsidRDefault="00AA703F" w:rsidP="00AA703F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03F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190AF674" wp14:editId="71316F05">
            <wp:extent cx="3436620" cy="464820"/>
            <wp:effectExtent l="0" t="0" r="0" b="0"/>
            <wp:docPr id="4" name="Рисунок 4" descr="Коэффициенте перехода на вторичный рынок формул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Коэффициенте перехода на вторичный рынок формулы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72E5A" w14:textId="77777777" w:rsidR="00AA703F" w:rsidRPr="00AA703F" w:rsidRDefault="00AA703F" w:rsidP="00AA703F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где:</w:t>
      </w:r>
    </w:p>
    <w:p w14:paraId="1B7A32D3" w14:textId="12889D25" w:rsidR="00AA703F" w:rsidRPr="00AA703F" w:rsidRDefault="00AA703F" w:rsidP="00AA703F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</w:t>
      </w:r>
      <w:r w:rsidRPr="00AA703F">
        <w:rPr>
          <w:rFonts w:ascii="Arial" w:eastAsia="Times New Roman" w:hAnsi="Arial" w:cs="Arial"/>
          <w:color w:val="000000"/>
          <w:sz w:val="20"/>
          <w:szCs w:val="20"/>
          <w:vertAlign w:val="subscript"/>
          <w:lang w:eastAsia="ru-RU"/>
        </w:rPr>
        <w:t>оо,бу </w:t>
      </w: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– стоимость, имущества определенная в рамках затратного подхода, с учетом «коэффициента перехода на вторичный рынок».</w:t>
      </w: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Т</w:t>
      </w:r>
      <w:r w:rsidRPr="00AA703F">
        <w:rPr>
          <w:rFonts w:ascii="Arial" w:eastAsia="Times New Roman" w:hAnsi="Arial" w:cs="Arial"/>
          <w:color w:val="000000"/>
          <w:sz w:val="20"/>
          <w:szCs w:val="20"/>
          <w:vertAlign w:val="subscript"/>
          <w:lang w:eastAsia="ru-RU"/>
        </w:rPr>
        <w:t>сс,ОКОФ </w:t>
      </w: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– срок службы имущества. В данной ситуации определяется в соответствии с амортизационной группой к которой относится имущество по классификации ОКОФ,</w:t>
      </w:r>
      <w:r w:rsidRPr="00AA703F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br/>
      </w:r>
      <w:r w:rsidRPr="00AA703F">
        <w:rPr>
          <w:rFonts w:ascii="Arial" w:eastAsia="Times New Roman" w:hAnsi="Arial" w:cs="Arial"/>
          <w:b/>
          <w:bCs/>
          <w:noProof/>
          <w:color w:val="000000"/>
          <w:sz w:val="20"/>
          <w:szCs w:val="20"/>
          <w:lang w:eastAsia="ru-RU"/>
        </w:rPr>
        <w:drawing>
          <wp:inline distT="0" distB="0" distL="0" distR="0" wp14:anchorId="549D8C7E" wp14:editId="09BF7F70">
            <wp:extent cx="1074420" cy="304800"/>
            <wp:effectExtent l="0" t="0" r="0" b="0"/>
            <wp:docPr id="3" name="Рисунок 3" descr="Белов Вячесла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Белов Вячеслав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42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A703F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- </w:t>
      </w: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функция, зависящая от времени определенного жизненного цикла имущества.</w:t>
      </w: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 w:rsidRPr="00AA703F">
        <w:rPr>
          <w:rFonts w:ascii="Arial" w:eastAsia="Times New Roman" w:hAnsi="Arial" w:cs="Arial"/>
          <w:b/>
          <w:bCs/>
          <w:noProof/>
          <w:color w:val="000000"/>
          <w:sz w:val="20"/>
          <w:szCs w:val="20"/>
          <w:lang w:eastAsia="ru-RU"/>
        </w:rPr>
        <w:drawing>
          <wp:inline distT="0" distB="0" distL="0" distR="0" wp14:anchorId="3B239B22" wp14:editId="3DC23C07">
            <wp:extent cx="1112520" cy="4267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2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A703F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- </w:t>
      </w: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функция, зависящая от времени жизненного цикла имущества с момента изготовления до ввода в эксплуатацию.</w:t>
      </w: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 w:rsidRPr="00AA703F">
        <w:rPr>
          <w:rFonts w:ascii="Arial" w:eastAsia="Times New Roman" w:hAnsi="Arial" w:cs="Arial"/>
          <w:b/>
          <w:bCs/>
          <w:noProof/>
          <w:color w:val="000000"/>
          <w:sz w:val="20"/>
          <w:szCs w:val="20"/>
          <w:lang w:eastAsia="ru-RU"/>
        </w:rPr>
        <w:drawing>
          <wp:inline distT="0" distB="0" distL="0" distR="0" wp14:anchorId="60034DA1" wp14:editId="6537901B">
            <wp:extent cx="1089660" cy="502920"/>
            <wp:effectExtent l="0" t="0" r="0" b="0"/>
            <wp:docPr id="1" name="Рисунок 1" descr="Коэффициенте перехода на вторичный рынок Белов В.Л. формул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Коэффициенте перехода на вторичный рынок Белов В.Л. формулы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A703F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- </w:t>
      </w: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функция, зависящая от времени жизненного цикла имущества, относящегося к его эксплуатации.</w:t>
      </w:r>
    </w:p>
    <w:p w14:paraId="39FC9382" w14:textId="77777777" w:rsidR="00AA703F" w:rsidRPr="00AA703F" w:rsidRDefault="00AA703F" w:rsidP="00AA703F">
      <w:pPr>
        <w:shd w:val="clear" w:color="auto" w:fill="FFFFFF"/>
        <w:spacing w:before="100" w:beforeAutospacing="1" w:after="100" w:afterAutospacing="1" w:line="280" w:lineRule="atLeast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03F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Выводы:</w:t>
      </w:r>
    </w:p>
    <w:p w14:paraId="29B3A750" w14:textId="77777777" w:rsidR="00AA703F" w:rsidRPr="00AA703F" w:rsidRDefault="00AA703F" w:rsidP="00AA703F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Не акцентируя внимание на само название - «</w:t>
      </w:r>
      <w:r w:rsidRPr="00AA703F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коэффициент перехода на вторичный рынок»</w:t>
      </w: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, которое, по ряду причин, не отражает саму сущность данного коэффициента, тем не менее, признается существование явления, отражающего изменение стоимости (в большинстве случаев в меньшую сторону) объекта «нового» не бывшего в эксплуатации при отсутствии у последнего хронологического возраста по отношению к стоимости такого же объекта, не введенного в эксплуатацию, но с предполагаемым хронологическим возрастом.</w:t>
      </w:r>
    </w:p>
    <w:p w14:paraId="6C266DAB" w14:textId="77777777" w:rsidR="00AA703F" w:rsidRPr="00AA703F" w:rsidRDefault="00AA703F" w:rsidP="00AA703F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Таким образом, данный коэффициент определяется как коэффициент физического износа, и должен использоваться при определении стоимости объекта оценки:</w:t>
      </w:r>
    </w:p>
    <w:p w14:paraId="194A2F83" w14:textId="77777777" w:rsidR="00AA703F" w:rsidRPr="00AA703F" w:rsidRDefault="00AA703F" w:rsidP="00AA703F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lastRenderedPageBreak/>
        <w:t>- для «нового» не бывшего в эксплуатации имущества, находящегося в собственности у конечного потребителя (эксплуатанта), применяется в расчетах всегда, при этом, в том числе учитывается время на рыночный срок экспозиции в случае продажи объекта до ввода в эксплуатацию;</w:t>
      </w:r>
    </w:p>
    <w:p w14:paraId="4E0D67C4" w14:textId="77777777" w:rsidR="00AA703F" w:rsidRPr="00AA703F" w:rsidRDefault="00AA703F" w:rsidP="00AA703F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- для имущества, находящегося в эксплуатации и введенного в эксплуатацию в срок меньший или равный рыночному сроку экспозиции и при соответствии срока изготовления и продажи, данный вид физического износа не учитывается, учитывается только физический износ, накопленный в результате эксплуатации имущества.</w:t>
      </w:r>
    </w:p>
    <w:p w14:paraId="7352A65D" w14:textId="77777777" w:rsidR="00AA703F" w:rsidRPr="00AA703F" w:rsidRDefault="00AA703F" w:rsidP="00AA703F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03F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И последнее</w:t>
      </w:r>
    </w:p>
    <w:p w14:paraId="44C527A9" w14:textId="77777777" w:rsidR="00AA703F" w:rsidRPr="00AA703F" w:rsidRDefault="00AA703F" w:rsidP="00AA703F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Поскольку мы наблюдаем изменение стоимости имущества на временн</w:t>
      </w:r>
      <w:r w:rsidRPr="00AA703F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о</w:t>
      </w: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м интервале от состояния «нового» до состояния «нового» не бывшего в эксплуатации имущества спустя время t1, то корректнее назвать коэффициент, отражающий это изменение стоимости – коэффициентом физического износа для «нового» не бывшего в эксплуатации имущества, или если кратко – </w:t>
      </w:r>
      <w:r w:rsidRPr="00AA703F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коэффициент физического износа для нового имущества.</w:t>
      </w: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</w:t>
      </w:r>
    </w:p>
    <w:p w14:paraId="5A8F4B32" w14:textId="77777777" w:rsidR="00AA703F" w:rsidRPr="00AA703F" w:rsidRDefault="00AA703F" w:rsidP="00AA703F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Литература</w:t>
      </w:r>
    </w:p>
    <w:p w14:paraId="46449DF9" w14:textId="77777777" w:rsidR="00AA703F" w:rsidRPr="00AA703F" w:rsidRDefault="00AA703F" w:rsidP="00AA703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Оценка для целей залога теория, практика, рекомендации, М.А. Федотова, В.Ю. Рослов, О.Н. Щербакова, А.И. Мышанов, Москва, «Финансы и статистика», 2008.</w:t>
      </w:r>
    </w:p>
    <w:p w14:paraId="516D2702" w14:textId="77777777" w:rsidR="00AA703F" w:rsidRPr="00AA703F" w:rsidRDefault="00AA703F" w:rsidP="00AA703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Справочник оценщика машин и оборудования, Приволжский центр методического и информационного обеспечения оценки, под редакцией Л.А. Лейфер, Нижний Новгород, 2015.</w:t>
      </w:r>
    </w:p>
    <w:p w14:paraId="637E517D" w14:textId="77777777" w:rsidR="00AA703F" w:rsidRPr="00AA703F" w:rsidRDefault="00AA703F" w:rsidP="00AA703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Справочник расчетных данных для оценки и консалтинга СРД-21, ноябрь 2017 г., Москва, 2017, ООО "Научно-практический Центр Профессиональной Оценки (НЦПО)", под редакцией к.т.н. Е.Е. Яскевича</w:t>
      </w:r>
    </w:p>
    <w:p w14:paraId="0009197B" w14:textId="77777777" w:rsidR="00AA703F" w:rsidRPr="00AA703F" w:rsidRDefault="00AA703F" w:rsidP="00AA703F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Москва, 2017</w:t>
      </w:r>
    </w:p>
    <w:p w14:paraId="78233AD4" w14:textId="77777777" w:rsidR="00AA703F" w:rsidRPr="00AA703F" w:rsidRDefault="00AA703F" w:rsidP="00AA703F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AA703F">
        <w:rPr>
          <w:rFonts w:eastAsia="Times New Roman" w:cs="Times New Roman"/>
          <w:sz w:val="24"/>
          <w:szCs w:val="24"/>
          <w:lang w:eastAsia="ru-RU"/>
        </w:rPr>
        <w:pict w14:anchorId="79C5F100">
          <v:rect id="_x0000_i1035" style="width:159.85pt;height:.6pt" o:hrpct="330" o:hralign="left" o:hrstd="t" o:hr="t" fillcolor="#a0a0a0" stroked="f"/>
        </w:pict>
      </w:r>
    </w:p>
    <w:bookmarkStart w:id="2" w:name="_ftn1"/>
    <w:p w14:paraId="7A94CB3A" w14:textId="77777777" w:rsidR="00AA703F" w:rsidRPr="00AA703F" w:rsidRDefault="00AA703F" w:rsidP="00AA703F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fldChar w:fldCharType="begin"/>
      </w: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instrText xml:space="preserve"> HYPERLINK "https://www.ocenchik.ru/docsm/3037-koefficient-perehoda-na-vtorichnyy-rynok.html" \l "_ftnref1" </w:instrText>
      </w: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fldChar w:fldCharType="separate"/>
      </w:r>
      <w:r w:rsidRPr="00AA703F">
        <w:rPr>
          <w:rFonts w:ascii="Arial" w:eastAsia="Times New Roman" w:hAnsi="Arial" w:cs="Arial"/>
          <w:color w:val="0000FF"/>
          <w:sz w:val="20"/>
          <w:szCs w:val="20"/>
          <w:u w:val="single"/>
          <w:lang w:eastAsia="ru-RU"/>
        </w:rPr>
        <w:t>[1]</w:t>
      </w:r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fldChar w:fldCharType="end"/>
      </w:r>
      <w:bookmarkEnd w:id="2"/>
      <w:r w:rsidRPr="00AA703F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Источник: с.41, Справочник расчетных данных для оценки и консалтинга СРД-21, ноябрь 2017 г., Москва, 2017, ООО "Научно-практический Центр Профессиональной Оценки (НЦПО)", под редакцией к.т.н. Е.Е. Яскевича</w:t>
      </w:r>
    </w:p>
    <w:p w14:paraId="18023B2D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3245F5"/>
    <w:multiLevelType w:val="multilevel"/>
    <w:tmpl w:val="396AF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03F"/>
    <w:rsid w:val="006C0B77"/>
    <w:rsid w:val="008242FF"/>
    <w:rsid w:val="00870751"/>
    <w:rsid w:val="00922C48"/>
    <w:rsid w:val="00AA703F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837F4"/>
  <w15:chartTrackingRefBased/>
  <w15:docId w15:val="{C69EC779-C73B-4304-91F5-D155F53B3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AA703F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703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AA703F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A703F"/>
    <w:rPr>
      <w:b/>
      <w:bCs/>
    </w:rPr>
  </w:style>
  <w:style w:type="character" w:styleId="a5">
    <w:name w:val="Emphasis"/>
    <w:basedOn w:val="a0"/>
    <w:uiPriority w:val="20"/>
    <w:qFormat/>
    <w:rsid w:val="00AA703F"/>
    <w:rPr>
      <w:i/>
      <w:iCs/>
    </w:rPr>
  </w:style>
  <w:style w:type="character" w:styleId="a6">
    <w:name w:val="Hyperlink"/>
    <w:basedOn w:val="a0"/>
    <w:uiPriority w:val="99"/>
    <w:semiHidden/>
    <w:unhideWhenUsed/>
    <w:rsid w:val="00AA703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98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13" Type="http://schemas.openxmlformats.org/officeDocument/2006/relationships/image" Target="media/image8.gif"/><Relationship Id="rId3" Type="http://schemas.openxmlformats.org/officeDocument/2006/relationships/settings" Target="settings.xml"/><Relationship Id="rId7" Type="http://schemas.openxmlformats.org/officeDocument/2006/relationships/image" Target="media/image2.gif"/><Relationship Id="rId12" Type="http://schemas.openxmlformats.org/officeDocument/2006/relationships/image" Target="media/image7.gi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ocenchik.ru/docsm/3037-koefficient-perehoda-na-vtorichnyy-rynok.html#_ftn1" TargetMode="External"/><Relationship Id="rId11" Type="http://schemas.openxmlformats.org/officeDocument/2006/relationships/image" Target="media/image6.gif"/><Relationship Id="rId5" Type="http://schemas.openxmlformats.org/officeDocument/2006/relationships/image" Target="media/image1.jpeg"/><Relationship Id="rId15" Type="http://schemas.openxmlformats.org/officeDocument/2006/relationships/image" Target="media/image10.gif"/><Relationship Id="rId10" Type="http://schemas.openxmlformats.org/officeDocument/2006/relationships/image" Target="media/image5.gif"/><Relationship Id="rId4" Type="http://schemas.openxmlformats.org/officeDocument/2006/relationships/webSettings" Target="webSettings.xml"/><Relationship Id="rId9" Type="http://schemas.openxmlformats.org/officeDocument/2006/relationships/image" Target="media/image4.gif"/><Relationship Id="rId14" Type="http://schemas.openxmlformats.org/officeDocument/2006/relationships/image" Target="media/image9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1583</Words>
  <Characters>9024</Characters>
  <Application>Microsoft Office Word</Application>
  <DocSecurity>0</DocSecurity>
  <Lines>75</Lines>
  <Paragraphs>21</Paragraphs>
  <ScaleCrop>false</ScaleCrop>
  <Company/>
  <LinksUpToDate>false</LinksUpToDate>
  <CharactersWithSpaces>10586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</dc:creator>
  <cp:keywords/>
  <dc:description/>
  <cp:lastModifiedBy>_</cp:lastModifiedBy>
  <cp:revision>1</cp:revision>
  <dcterms:created xsi:type="dcterms:W3CDTF">2025-11-25T12:33:00Z</dcterms:created>
  <dcterms:modified xsi:type="dcterms:W3CDTF">2025-11-25T12:34:00Z</dcterms:modified>
</cp:coreProperties>
</file>