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D3727" w14:textId="77777777" w:rsidR="00097ED0" w:rsidRPr="00097ED0" w:rsidRDefault="00097ED0" w:rsidP="00097ED0">
      <w:pPr>
        <w:shd w:val="clear" w:color="auto" w:fill="FFFFFF"/>
        <w:spacing w:before="150" w:after="320"/>
        <w:jc w:val="center"/>
        <w:outlineLvl w:val="0"/>
        <w:rPr>
          <w:rFonts w:ascii="Arial" w:eastAsia="Times New Roman" w:hAnsi="Arial" w:cs="Arial"/>
          <w:b/>
          <w:bCs/>
          <w:color w:val="014783"/>
          <w:kern w:val="36"/>
          <w:sz w:val="24"/>
          <w:szCs w:val="24"/>
          <w:lang w:eastAsia="ru-RU"/>
        </w:rPr>
      </w:pPr>
      <w:bookmarkStart w:id="0" w:name="_GoBack"/>
      <w:bookmarkEnd w:id="0"/>
      <w:r w:rsidRPr="00097ED0">
        <w:rPr>
          <w:rFonts w:ascii="Arial" w:eastAsia="Times New Roman" w:hAnsi="Arial" w:cs="Arial"/>
          <w:b/>
          <w:bCs/>
          <w:color w:val="014783"/>
          <w:kern w:val="36"/>
          <w:sz w:val="24"/>
          <w:szCs w:val="24"/>
          <w:lang w:eastAsia="ru-RU"/>
        </w:rPr>
        <w:t>Расчет коэффициента капитализации</w:t>
      </w:r>
    </w:p>
    <w:p w14:paraId="4C197962" w14:textId="77777777" w:rsidR="00097ED0" w:rsidRPr="00097ED0" w:rsidRDefault="00097ED0" w:rsidP="00097ED0">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b/>
          <w:bCs/>
          <w:color w:val="000000"/>
          <w:sz w:val="20"/>
          <w:szCs w:val="20"/>
          <w:lang w:eastAsia="ru-RU"/>
        </w:rPr>
        <w:t>Коэффициент капитализации </w:t>
      </w:r>
      <w:r w:rsidRPr="00097ED0">
        <w:rPr>
          <w:rFonts w:ascii="Arial" w:eastAsia="Times New Roman" w:hAnsi="Arial" w:cs="Arial"/>
          <w:color w:val="000000"/>
          <w:sz w:val="20"/>
          <w:szCs w:val="20"/>
          <w:lang w:eastAsia="ru-RU"/>
        </w:rPr>
        <w:t>– это параметр, преобразующий чистый доход в стоимость объекта. При этом учитывается как сама чистая прибыль, получаемая от эксплуатации оцениваемого объекта, так и возмещение основного капитала, затраченного на приобретение объекта. Коэффициент капитализации, учитывающий эти две составляющие, называется </w:t>
      </w:r>
      <w:r w:rsidRPr="00097ED0">
        <w:rPr>
          <w:rFonts w:ascii="Arial" w:eastAsia="Times New Roman" w:hAnsi="Arial" w:cs="Arial"/>
          <w:i/>
          <w:iCs/>
          <w:color w:val="000000"/>
          <w:sz w:val="20"/>
          <w:szCs w:val="20"/>
          <w:lang w:eastAsia="ru-RU"/>
        </w:rPr>
        <w:t>общим коэффициентом капитализации или ставкой капитализации чистого дохода.</w:t>
      </w:r>
      <w:r w:rsidRPr="00097ED0">
        <w:rPr>
          <w:rFonts w:ascii="Arial" w:eastAsia="Times New Roman" w:hAnsi="Arial" w:cs="Arial"/>
          <w:color w:val="000000"/>
          <w:sz w:val="20"/>
          <w:szCs w:val="20"/>
          <w:lang w:eastAsia="ru-RU"/>
        </w:rPr>
        <w:t> При этом чистый доход, используемый для капитализации, определяется за определенный период, как правило, за год. Таким образом, общий коэффициент капитализации, (или полная ставка капитализации) выражает зависимость между годовой величиной чистого дохода, получаемого в результате эксплуатации объекта, и его рыночной стоимостью.</w:t>
      </w:r>
    </w:p>
    <w:p w14:paraId="08527082" w14:textId="77777777" w:rsidR="00097ED0" w:rsidRPr="00097ED0" w:rsidRDefault="00097ED0" w:rsidP="00097ED0">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Выбор коэффициента капитализации является одним из ключевых моментов оценки. В данном отчете коэффициент капитализации рассчитывается методом кумулятивного построения. По данному методу за основу берется безрисковая норма дохода, к которой добавляется премия за риск инвестирования в рассматриваемый сектор рынка и норма возврата на инвестированный капитал.</w:t>
      </w:r>
    </w:p>
    <w:p w14:paraId="5DB2DEC7" w14:textId="77777777" w:rsidR="00097ED0" w:rsidRPr="00097ED0" w:rsidRDefault="00097ED0" w:rsidP="00097ED0">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В условиях российского рынка обычно представляется в виде:</w:t>
      </w:r>
    </w:p>
    <w:p w14:paraId="321950EF" w14:textId="77777777" w:rsidR="00097ED0" w:rsidRPr="00097ED0" w:rsidRDefault="00097ED0" w:rsidP="00097ED0">
      <w:pPr>
        <w:shd w:val="clear" w:color="auto" w:fill="FFFFFF"/>
        <w:spacing w:before="100" w:beforeAutospacing="1" w:after="100" w:afterAutospacing="1" w:line="280" w:lineRule="atLeast"/>
        <w:jc w:val="center"/>
        <w:rPr>
          <w:rFonts w:ascii="Arial" w:eastAsia="Times New Roman" w:hAnsi="Arial" w:cs="Arial"/>
          <w:color w:val="000000"/>
          <w:sz w:val="20"/>
          <w:szCs w:val="20"/>
          <w:lang w:val="en-US" w:eastAsia="ru-RU"/>
        </w:rPr>
      </w:pPr>
      <w:r w:rsidRPr="00097ED0">
        <w:rPr>
          <w:rFonts w:ascii="Arial" w:eastAsia="Times New Roman" w:hAnsi="Arial" w:cs="Arial"/>
          <w:color w:val="000000"/>
          <w:sz w:val="20"/>
          <w:szCs w:val="20"/>
          <w:lang w:val="en-US" w:eastAsia="ru-RU"/>
        </w:rPr>
        <w:t>i = i</w:t>
      </w:r>
      <w:r w:rsidRPr="00097ED0">
        <w:rPr>
          <w:rFonts w:ascii="Arial" w:eastAsia="Times New Roman" w:hAnsi="Arial" w:cs="Arial"/>
          <w:color w:val="000000"/>
          <w:sz w:val="20"/>
          <w:szCs w:val="20"/>
          <w:vertAlign w:val="subscript"/>
          <w:lang w:val="en-US" w:eastAsia="ru-RU"/>
        </w:rPr>
        <w:t>o </w:t>
      </w:r>
      <w:r w:rsidRPr="00097ED0">
        <w:rPr>
          <w:rFonts w:ascii="Arial" w:eastAsia="Times New Roman" w:hAnsi="Arial" w:cs="Arial"/>
          <w:color w:val="000000"/>
          <w:sz w:val="20"/>
          <w:szCs w:val="20"/>
          <w:lang w:val="en-US" w:eastAsia="ru-RU"/>
        </w:rPr>
        <w:t>+ i</w:t>
      </w:r>
      <w:r w:rsidRPr="00097ED0">
        <w:rPr>
          <w:rFonts w:ascii="Arial" w:eastAsia="Times New Roman" w:hAnsi="Arial" w:cs="Arial"/>
          <w:color w:val="000000"/>
          <w:sz w:val="20"/>
          <w:szCs w:val="20"/>
          <w:vertAlign w:val="subscript"/>
          <w:lang w:eastAsia="ru-RU"/>
        </w:rPr>
        <w:t>с</w:t>
      </w:r>
      <w:r w:rsidRPr="00097ED0">
        <w:rPr>
          <w:rFonts w:ascii="Arial" w:eastAsia="Times New Roman" w:hAnsi="Arial" w:cs="Arial"/>
          <w:color w:val="000000"/>
          <w:sz w:val="20"/>
          <w:szCs w:val="20"/>
          <w:vertAlign w:val="subscript"/>
          <w:lang w:val="en-US" w:eastAsia="ru-RU"/>
        </w:rPr>
        <w:t> </w:t>
      </w:r>
      <w:r w:rsidRPr="00097ED0">
        <w:rPr>
          <w:rFonts w:ascii="Arial" w:eastAsia="Times New Roman" w:hAnsi="Arial" w:cs="Arial"/>
          <w:color w:val="000000"/>
          <w:sz w:val="20"/>
          <w:szCs w:val="20"/>
          <w:lang w:val="en-US" w:eastAsia="ru-RU"/>
        </w:rPr>
        <w:t>+ i</w:t>
      </w:r>
      <w:r w:rsidRPr="00097ED0">
        <w:rPr>
          <w:rFonts w:ascii="Arial" w:eastAsia="Times New Roman" w:hAnsi="Arial" w:cs="Arial"/>
          <w:color w:val="000000"/>
          <w:sz w:val="20"/>
          <w:szCs w:val="20"/>
          <w:vertAlign w:val="subscript"/>
          <w:lang w:eastAsia="ru-RU"/>
        </w:rPr>
        <w:t>л</w:t>
      </w:r>
      <w:r w:rsidRPr="00097ED0">
        <w:rPr>
          <w:rFonts w:ascii="Arial" w:eastAsia="Times New Roman" w:hAnsi="Arial" w:cs="Arial"/>
          <w:color w:val="000000"/>
          <w:sz w:val="20"/>
          <w:szCs w:val="20"/>
          <w:vertAlign w:val="subscript"/>
          <w:lang w:val="en-US" w:eastAsia="ru-RU"/>
        </w:rPr>
        <w:t> </w:t>
      </w:r>
      <w:r w:rsidRPr="00097ED0">
        <w:rPr>
          <w:rFonts w:ascii="Arial" w:eastAsia="Times New Roman" w:hAnsi="Arial" w:cs="Arial"/>
          <w:color w:val="000000"/>
          <w:sz w:val="20"/>
          <w:szCs w:val="20"/>
          <w:lang w:val="en-US" w:eastAsia="ru-RU"/>
        </w:rPr>
        <w:t>+ i </w:t>
      </w:r>
      <w:r w:rsidRPr="00097ED0">
        <w:rPr>
          <w:rFonts w:ascii="Arial" w:eastAsia="Times New Roman" w:hAnsi="Arial" w:cs="Arial"/>
          <w:color w:val="000000"/>
          <w:sz w:val="20"/>
          <w:szCs w:val="20"/>
          <w:vertAlign w:val="subscript"/>
          <w:lang w:val="en-US" w:eastAsia="ru-RU"/>
        </w:rPr>
        <w:t>in </w:t>
      </w:r>
      <w:r w:rsidRPr="00097ED0">
        <w:rPr>
          <w:rFonts w:ascii="Arial" w:eastAsia="Times New Roman" w:hAnsi="Arial" w:cs="Arial"/>
          <w:color w:val="000000"/>
          <w:sz w:val="20"/>
          <w:szCs w:val="20"/>
          <w:lang w:val="en-US" w:eastAsia="ru-RU"/>
        </w:rPr>
        <w:t>+ n </w:t>
      </w:r>
      <w:r w:rsidRPr="00097ED0">
        <w:rPr>
          <w:rFonts w:ascii="Arial" w:eastAsia="Times New Roman" w:hAnsi="Arial" w:cs="Arial"/>
          <w:color w:val="000000"/>
          <w:sz w:val="20"/>
          <w:szCs w:val="20"/>
          <w:vertAlign w:val="subscript"/>
          <w:lang w:eastAsia="ru-RU"/>
        </w:rPr>
        <w:t>к</w:t>
      </w:r>
    </w:p>
    <w:p w14:paraId="1042B619" w14:textId="77777777" w:rsidR="00097ED0" w:rsidRPr="00097ED0" w:rsidRDefault="00097ED0" w:rsidP="00097ED0">
      <w:pPr>
        <w:shd w:val="clear" w:color="auto" w:fill="FFFFFF"/>
        <w:spacing w:before="100" w:beforeAutospacing="1" w:after="100" w:afterAutospacing="1" w:line="280" w:lineRule="atLeast"/>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где</w:t>
      </w:r>
      <w:r w:rsidRPr="00097ED0">
        <w:rPr>
          <w:rFonts w:ascii="Arial" w:eastAsia="Times New Roman" w:hAnsi="Arial" w:cs="Arial"/>
          <w:color w:val="000000"/>
          <w:sz w:val="20"/>
          <w:szCs w:val="20"/>
          <w:lang w:eastAsia="ru-RU"/>
        </w:rPr>
        <w:br/>
      </w:r>
      <w:proofErr w:type="spellStart"/>
      <w:r w:rsidRPr="00097ED0">
        <w:rPr>
          <w:rFonts w:ascii="Arial" w:eastAsia="Times New Roman" w:hAnsi="Arial" w:cs="Arial"/>
          <w:color w:val="000000"/>
          <w:sz w:val="20"/>
          <w:szCs w:val="20"/>
          <w:lang w:eastAsia="ru-RU"/>
        </w:rPr>
        <w:t>i</w:t>
      </w:r>
      <w:r w:rsidRPr="00097ED0">
        <w:rPr>
          <w:rFonts w:ascii="Arial" w:eastAsia="Times New Roman" w:hAnsi="Arial" w:cs="Arial"/>
          <w:color w:val="000000"/>
          <w:sz w:val="20"/>
          <w:szCs w:val="20"/>
          <w:vertAlign w:val="subscript"/>
          <w:lang w:eastAsia="ru-RU"/>
        </w:rPr>
        <w:t>o</w:t>
      </w:r>
      <w:proofErr w:type="spellEnd"/>
      <w:r w:rsidRPr="00097ED0">
        <w:rPr>
          <w:rFonts w:ascii="Arial" w:eastAsia="Times New Roman" w:hAnsi="Arial" w:cs="Arial"/>
          <w:color w:val="000000"/>
          <w:sz w:val="20"/>
          <w:szCs w:val="20"/>
          <w:lang w:eastAsia="ru-RU"/>
        </w:rPr>
        <w:t> – безрисковая ставка процента, %;</w:t>
      </w:r>
      <w:r w:rsidRPr="00097ED0">
        <w:rPr>
          <w:rFonts w:ascii="Arial" w:eastAsia="Times New Roman" w:hAnsi="Arial" w:cs="Arial"/>
          <w:color w:val="000000"/>
          <w:sz w:val="20"/>
          <w:szCs w:val="20"/>
          <w:lang w:eastAsia="ru-RU"/>
        </w:rPr>
        <w:br/>
      </w:r>
      <w:proofErr w:type="spellStart"/>
      <w:r w:rsidRPr="00097ED0">
        <w:rPr>
          <w:rFonts w:ascii="Arial" w:eastAsia="Times New Roman" w:hAnsi="Arial" w:cs="Arial"/>
          <w:color w:val="000000"/>
          <w:sz w:val="20"/>
          <w:szCs w:val="20"/>
          <w:lang w:eastAsia="ru-RU"/>
        </w:rPr>
        <w:t>i</w:t>
      </w:r>
      <w:r w:rsidRPr="00097ED0">
        <w:rPr>
          <w:rFonts w:ascii="Arial" w:eastAsia="Times New Roman" w:hAnsi="Arial" w:cs="Arial"/>
          <w:color w:val="000000"/>
          <w:sz w:val="20"/>
          <w:szCs w:val="20"/>
          <w:vertAlign w:val="subscript"/>
          <w:lang w:eastAsia="ru-RU"/>
        </w:rPr>
        <w:t>с</w:t>
      </w:r>
      <w:proofErr w:type="spellEnd"/>
      <w:r w:rsidRPr="00097ED0">
        <w:rPr>
          <w:rFonts w:ascii="Arial" w:eastAsia="Times New Roman" w:hAnsi="Arial" w:cs="Arial"/>
          <w:color w:val="000000"/>
          <w:sz w:val="20"/>
          <w:szCs w:val="20"/>
          <w:lang w:eastAsia="ru-RU"/>
        </w:rPr>
        <w:t xml:space="preserve"> – </w:t>
      </w:r>
      <w:proofErr w:type="spellStart"/>
      <w:r w:rsidRPr="00097ED0">
        <w:rPr>
          <w:rFonts w:ascii="Arial" w:eastAsia="Times New Roman" w:hAnsi="Arial" w:cs="Arial"/>
          <w:color w:val="000000"/>
          <w:sz w:val="20"/>
          <w:szCs w:val="20"/>
          <w:lang w:eastAsia="ru-RU"/>
        </w:rPr>
        <w:t>общерыночный</w:t>
      </w:r>
      <w:proofErr w:type="spellEnd"/>
      <w:r w:rsidRPr="00097ED0">
        <w:rPr>
          <w:rFonts w:ascii="Arial" w:eastAsia="Times New Roman" w:hAnsi="Arial" w:cs="Arial"/>
          <w:color w:val="000000"/>
          <w:sz w:val="20"/>
          <w:szCs w:val="20"/>
          <w:lang w:eastAsia="ru-RU"/>
        </w:rPr>
        <w:t xml:space="preserve"> риск, %;</w:t>
      </w:r>
      <w:r w:rsidRPr="00097ED0">
        <w:rPr>
          <w:rFonts w:ascii="Arial" w:eastAsia="Times New Roman" w:hAnsi="Arial" w:cs="Arial"/>
          <w:color w:val="000000"/>
          <w:sz w:val="20"/>
          <w:szCs w:val="20"/>
          <w:lang w:eastAsia="ru-RU"/>
        </w:rPr>
        <w:br/>
      </w:r>
      <w:proofErr w:type="spellStart"/>
      <w:r w:rsidRPr="00097ED0">
        <w:rPr>
          <w:rFonts w:ascii="Arial" w:eastAsia="Times New Roman" w:hAnsi="Arial" w:cs="Arial"/>
          <w:color w:val="000000"/>
          <w:sz w:val="20"/>
          <w:szCs w:val="20"/>
          <w:lang w:eastAsia="ru-RU"/>
        </w:rPr>
        <w:t>i</w:t>
      </w:r>
      <w:r w:rsidRPr="00097ED0">
        <w:rPr>
          <w:rFonts w:ascii="Arial" w:eastAsia="Times New Roman" w:hAnsi="Arial" w:cs="Arial"/>
          <w:color w:val="000000"/>
          <w:sz w:val="20"/>
          <w:szCs w:val="20"/>
          <w:vertAlign w:val="subscript"/>
          <w:lang w:eastAsia="ru-RU"/>
        </w:rPr>
        <w:t>л</w:t>
      </w:r>
      <w:proofErr w:type="spellEnd"/>
      <w:r w:rsidRPr="00097ED0">
        <w:rPr>
          <w:rFonts w:ascii="Arial" w:eastAsia="Times New Roman" w:hAnsi="Arial" w:cs="Arial"/>
          <w:color w:val="000000"/>
          <w:sz w:val="20"/>
          <w:szCs w:val="20"/>
          <w:lang w:eastAsia="ru-RU"/>
        </w:rPr>
        <w:t> – премия на низкую ликвидность, %;</w:t>
      </w:r>
      <w:r w:rsidRPr="00097ED0">
        <w:rPr>
          <w:rFonts w:ascii="Arial" w:eastAsia="Times New Roman" w:hAnsi="Arial" w:cs="Arial"/>
          <w:color w:val="000000"/>
          <w:sz w:val="20"/>
          <w:szCs w:val="20"/>
          <w:lang w:eastAsia="ru-RU"/>
        </w:rPr>
        <w:br/>
      </w:r>
      <w:proofErr w:type="spellStart"/>
      <w:r w:rsidRPr="00097ED0">
        <w:rPr>
          <w:rFonts w:ascii="Arial" w:eastAsia="Times New Roman" w:hAnsi="Arial" w:cs="Arial"/>
          <w:color w:val="000000"/>
          <w:sz w:val="20"/>
          <w:szCs w:val="20"/>
          <w:lang w:eastAsia="ru-RU"/>
        </w:rPr>
        <w:t>i</w:t>
      </w:r>
      <w:r w:rsidRPr="00097ED0">
        <w:rPr>
          <w:rFonts w:ascii="Arial" w:eastAsia="Times New Roman" w:hAnsi="Arial" w:cs="Arial"/>
          <w:color w:val="000000"/>
          <w:sz w:val="20"/>
          <w:szCs w:val="20"/>
          <w:vertAlign w:val="subscript"/>
          <w:lang w:eastAsia="ru-RU"/>
        </w:rPr>
        <w:t>in</w:t>
      </w:r>
      <w:proofErr w:type="spellEnd"/>
      <w:r w:rsidRPr="00097ED0">
        <w:rPr>
          <w:rFonts w:ascii="Arial" w:eastAsia="Times New Roman" w:hAnsi="Arial" w:cs="Arial"/>
          <w:color w:val="000000"/>
          <w:sz w:val="20"/>
          <w:szCs w:val="20"/>
          <w:lang w:eastAsia="ru-RU"/>
        </w:rPr>
        <w:t xml:space="preserve"> – премия за качество </w:t>
      </w:r>
      <w:proofErr w:type="spellStart"/>
      <w:r w:rsidRPr="00097ED0">
        <w:rPr>
          <w:rFonts w:ascii="Arial" w:eastAsia="Times New Roman" w:hAnsi="Arial" w:cs="Arial"/>
          <w:color w:val="000000"/>
          <w:sz w:val="20"/>
          <w:szCs w:val="20"/>
          <w:lang w:eastAsia="ru-RU"/>
        </w:rPr>
        <w:t>менеджемента</w:t>
      </w:r>
      <w:proofErr w:type="spellEnd"/>
      <w:r w:rsidRPr="00097ED0">
        <w:rPr>
          <w:rFonts w:ascii="Arial" w:eastAsia="Times New Roman" w:hAnsi="Arial" w:cs="Arial"/>
          <w:color w:val="000000"/>
          <w:sz w:val="20"/>
          <w:szCs w:val="20"/>
          <w:lang w:eastAsia="ru-RU"/>
        </w:rPr>
        <w:t>, %;</w:t>
      </w:r>
      <w:r w:rsidRPr="00097ED0">
        <w:rPr>
          <w:rFonts w:ascii="Arial" w:eastAsia="Times New Roman" w:hAnsi="Arial" w:cs="Arial"/>
          <w:color w:val="000000"/>
          <w:sz w:val="20"/>
          <w:szCs w:val="20"/>
          <w:lang w:eastAsia="ru-RU"/>
        </w:rPr>
        <w:br/>
      </w:r>
      <w:proofErr w:type="spellStart"/>
      <w:r w:rsidRPr="00097ED0">
        <w:rPr>
          <w:rFonts w:ascii="Arial" w:eastAsia="Times New Roman" w:hAnsi="Arial" w:cs="Arial"/>
          <w:color w:val="000000"/>
          <w:sz w:val="20"/>
          <w:szCs w:val="20"/>
          <w:lang w:eastAsia="ru-RU"/>
        </w:rPr>
        <w:t>n</w:t>
      </w:r>
      <w:r w:rsidRPr="00097ED0">
        <w:rPr>
          <w:rFonts w:ascii="Arial" w:eastAsia="Times New Roman" w:hAnsi="Arial" w:cs="Arial"/>
          <w:color w:val="000000"/>
          <w:sz w:val="20"/>
          <w:szCs w:val="20"/>
          <w:vertAlign w:val="subscript"/>
          <w:lang w:eastAsia="ru-RU"/>
        </w:rPr>
        <w:t>к</w:t>
      </w:r>
      <w:proofErr w:type="spellEnd"/>
      <w:r w:rsidRPr="00097ED0">
        <w:rPr>
          <w:rFonts w:ascii="Arial" w:eastAsia="Times New Roman" w:hAnsi="Arial" w:cs="Arial"/>
          <w:color w:val="000000"/>
          <w:sz w:val="20"/>
          <w:szCs w:val="20"/>
          <w:lang w:eastAsia="ru-RU"/>
        </w:rPr>
        <w:t> – норма возврата на капитал, %.</w:t>
      </w:r>
    </w:p>
    <w:p w14:paraId="6A508551" w14:textId="77777777" w:rsidR="00097ED0" w:rsidRPr="00097ED0" w:rsidRDefault="00097ED0" w:rsidP="00097ED0">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Поскольку в данном отчете оценивается единый объект недвижимости – здание вместе с земельным участком, расчет коэффициента капитализации для зданий аналогичен расчету ставки дисконтирования для земли.</w:t>
      </w:r>
    </w:p>
    <w:p w14:paraId="2E176305" w14:textId="77777777" w:rsidR="00097ED0" w:rsidRPr="00097ED0" w:rsidRDefault="00097ED0" w:rsidP="00097ED0">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В качестве номинальной безрисковой ставки была выбрана средневзвешенная процентная ставка доходности облигаций федерального займа (ОФЗ) по итогам торгов на дату оценки (сроком до погашения более 5 лет). Данный индикатор составил на дату оценки 6,8% (Источник информации: Бюллетень фондового рынка Банка России).</w:t>
      </w:r>
    </w:p>
    <w:p w14:paraId="523E948D" w14:textId="77777777" w:rsidR="00097ED0" w:rsidRPr="00097ED0" w:rsidRDefault="00097ED0" w:rsidP="00097ED0">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b/>
          <w:bCs/>
          <w:color w:val="000000"/>
          <w:sz w:val="20"/>
          <w:szCs w:val="20"/>
          <w:lang w:eastAsia="ru-RU"/>
        </w:rPr>
        <w:t>Региональный риск.</w:t>
      </w:r>
      <w:r w:rsidRPr="00097ED0">
        <w:rPr>
          <w:rFonts w:ascii="Arial" w:eastAsia="Times New Roman" w:hAnsi="Arial" w:cs="Arial"/>
          <w:color w:val="000000"/>
          <w:sz w:val="20"/>
          <w:szCs w:val="20"/>
          <w:lang w:eastAsia="ru-RU"/>
        </w:rPr>
        <w:t> Определен по данным журнала «Эксперт» на основе данных об инвестиционном риске в российских регионах в 2004-2005гг., из которого следует, что инвестиционный риск Астраханской области превышает инвестиционный риск Санкт-Петербурга (субъекта Федерации с наименьшим риском, который может быть приравнен в суверенному риску РФ) в 1,24 раз. Следовательно, региональный риск для Псковской области будет равен 6,8 * 1,24 - 6,8 = 2,8 %.</w:t>
      </w:r>
    </w:p>
    <w:p w14:paraId="45D5C7FA" w14:textId="77777777" w:rsidR="00097ED0" w:rsidRPr="00097ED0" w:rsidRDefault="00097ED0" w:rsidP="00097ED0">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b/>
          <w:bCs/>
          <w:color w:val="000000"/>
          <w:sz w:val="20"/>
          <w:szCs w:val="20"/>
          <w:lang w:eastAsia="ru-RU"/>
        </w:rPr>
        <w:t>Премия за инвестиционный менеджмент</w:t>
      </w:r>
      <w:r w:rsidRPr="00097ED0">
        <w:rPr>
          <w:rFonts w:ascii="Arial" w:eastAsia="Times New Roman" w:hAnsi="Arial" w:cs="Arial"/>
          <w:color w:val="000000"/>
          <w:sz w:val="20"/>
          <w:szCs w:val="20"/>
          <w:lang w:eastAsia="ru-RU"/>
        </w:rPr>
        <w:t> – чем более рискованны и сложны инвестиции, тем более компетентного управления они требуют. Данный риск с учетом недозагрузки и потерь может составлять от 2 до 5 %. Так как АЗС требуют особых навыков управления, значение риска принимается на уровне 2,5 %.</w:t>
      </w:r>
    </w:p>
    <w:p w14:paraId="3565AB18" w14:textId="77777777" w:rsidR="00097ED0" w:rsidRPr="00097ED0" w:rsidRDefault="00097ED0" w:rsidP="00097ED0">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097ED0">
        <w:rPr>
          <w:rFonts w:ascii="Arial" w:eastAsia="Times New Roman" w:hAnsi="Arial" w:cs="Arial"/>
          <w:b/>
          <w:bCs/>
          <w:color w:val="000000"/>
          <w:sz w:val="20"/>
          <w:szCs w:val="20"/>
          <w:lang w:eastAsia="ru-RU"/>
        </w:rPr>
        <w:t>Расчет поправки на риск вложения</w:t>
      </w:r>
    </w:p>
    <w:p w14:paraId="1861996E" w14:textId="77777777" w:rsidR="00097ED0" w:rsidRPr="00097ED0" w:rsidRDefault="00097ED0" w:rsidP="00097ED0">
      <w:pPr>
        <w:shd w:val="clear" w:color="auto" w:fill="FFFFFF"/>
        <w:spacing w:before="100" w:beforeAutospacing="1" w:after="100" w:afterAutospacing="1" w:line="280" w:lineRule="atLeast"/>
        <w:jc w:val="right"/>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lastRenderedPageBreak/>
        <w:t>Таблица 1</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top w:w="24" w:type="dxa"/>
          <w:left w:w="24" w:type="dxa"/>
          <w:bottom w:w="24" w:type="dxa"/>
          <w:right w:w="24" w:type="dxa"/>
        </w:tblCellMar>
        <w:tblLook w:val="04A0" w:firstRow="1" w:lastRow="0" w:firstColumn="1" w:lastColumn="0" w:noHBand="0" w:noVBand="1"/>
      </w:tblPr>
      <w:tblGrid>
        <w:gridCol w:w="2703"/>
        <w:gridCol w:w="1721"/>
        <w:gridCol w:w="492"/>
        <w:gridCol w:w="492"/>
        <w:gridCol w:w="492"/>
        <w:gridCol w:w="492"/>
        <w:gridCol w:w="491"/>
        <w:gridCol w:w="491"/>
        <w:gridCol w:w="491"/>
        <w:gridCol w:w="491"/>
        <w:gridCol w:w="491"/>
        <w:gridCol w:w="491"/>
      </w:tblGrid>
      <w:tr w:rsidR="00097ED0" w:rsidRPr="00097ED0" w14:paraId="0DA7BEB1" w14:textId="77777777" w:rsidTr="00097ED0">
        <w:trPr>
          <w:trHeight w:val="348"/>
          <w:tblCellSpacing w:w="0" w:type="dxa"/>
        </w:trPr>
        <w:tc>
          <w:tcPr>
            <w:tcW w:w="11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7347BF0A" w14:textId="77777777" w:rsidR="00097ED0" w:rsidRPr="00097ED0" w:rsidRDefault="00097ED0" w:rsidP="00097ED0">
            <w:pPr>
              <w:spacing w:before="100" w:beforeAutospacing="1" w:after="100" w:afterAutospacing="1" w:line="280" w:lineRule="atLeast"/>
              <w:jc w:val="center"/>
              <w:rPr>
                <w:rFonts w:ascii="Arial" w:eastAsia="Times New Roman" w:hAnsi="Arial" w:cs="Arial"/>
                <w:color w:val="000000"/>
                <w:sz w:val="20"/>
                <w:szCs w:val="20"/>
                <w:lang w:eastAsia="ru-RU"/>
              </w:rPr>
            </w:pPr>
            <w:r w:rsidRPr="00097ED0">
              <w:rPr>
                <w:rFonts w:ascii="Arial" w:eastAsia="Times New Roman" w:hAnsi="Arial" w:cs="Arial"/>
                <w:b/>
                <w:bCs/>
                <w:color w:val="000000"/>
                <w:sz w:val="20"/>
                <w:szCs w:val="20"/>
                <w:lang w:eastAsia="ru-RU"/>
              </w:rPr>
              <w:t>Виды и наименование риска</w:t>
            </w:r>
          </w:p>
        </w:tc>
        <w:tc>
          <w:tcPr>
            <w:tcW w:w="7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2278D7AC" w14:textId="77777777" w:rsidR="00097ED0" w:rsidRPr="00097ED0" w:rsidRDefault="00097ED0" w:rsidP="00097ED0">
            <w:pPr>
              <w:spacing w:before="100" w:beforeAutospacing="1" w:after="100" w:afterAutospacing="1" w:line="280" w:lineRule="atLeast"/>
              <w:jc w:val="center"/>
              <w:rPr>
                <w:rFonts w:ascii="Arial" w:eastAsia="Times New Roman" w:hAnsi="Arial" w:cs="Arial"/>
                <w:color w:val="000000"/>
                <w:sz w:val="20"/>
                <w:szCs w:val="20"/>
                <w:lang w:eastAsia="ru-RU"/>
              </w:rPr>
            </w:pPr>
            <w:r w:rsidRPr="00097ED0">
              <w:rPr>
                <w:rFonts w:ascii="Arial" w:eastAsia="Times New Roman" w:hAnsi="Arial" w:cs="Arial"/>
                <w:b/>
                <w:bCs/>
                <w:color w:val="000000"/>
                <w:sz w:val="20"/>
                <w:szCs w:val="20"/>
                <w:lang w:eastAsia="ru-RU"/>
              </w:rPr>
              <w:t>Категория риска</w:t>
            </w:r>
          </w:p>
        </w:tc>
        <w:tc>
          <w:tcPr>
            <w:tcW w:w="2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10F6B0D6" w14:textId="77777777" w:rsidR="00097ED0" w:rsidRPr="00097ED0" w:rsidRDefault="00097ED0" w:rsidP="00097ED0">
            <w:pPr>
              <w:spacing w:after="0"/>
              <w:jc w:val="center"/>
              <w:rPr>
                <w:rFonts w:ascii="Arial" w:eastAsia="Times New Roman" w:hAnsi="Arial" w:cs="Arial"/>
                <w:color w:val="000000"/>
                <w:sz w:val="20"/>
                <w:szCs w:val="20"/>
                <w:lang w:eastAsia="ru-RU"/>
              </w:rPr>
            </w:pPr>
            <w:r w:rsidRPr="00097ED0">
              <w:rPr>
                <w:rFonts w:ascii="Arial" w:eastAsia="Times New Roman" w:hAnsi="Arial" w:cs="Arial"/>
                <w:b/>
                <w:bCs/>
                <w:color w:val="000000"/>
                <w:sz w:val="20"/>
                <w:szCs w:val="20"/>
                <w:lang w:eastAsia="ru-RU"/>
              </w:rPr>
              <w:t>1</w:t>
            </w:r>
          </w:p>
        </w:tc>
        <w:tc>
          <w:tcPr>
            <w:tcW w:w="2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62EAC2EE" w14:textId="77777777" w:rsidR="00097ED0" w:rsidRPr="00097ED0" w:rsidRDefault="00097ED0" w:rsidP="00097ED0">
            <w:pPr>
              <w:spacing w:after="0"/>
              <w:jc w:val="center"/>
              <w:rPr>
                <w:rFonts w:ascii="Arial" w:eastAsia="Times New Roman" w:hAnsi="Arial" w:cs="Arial"/>
                <w:color w:val="000000"/>
                <w:sz w:val="20"/>
                <w:szCs w:val="20"/>
                <w:lang w:eastAsia="ru-RU"/>
              </w:rPr>
            </w:pPr>
            <w:r w:rsidRPr="00097ED0">
              <w:rPr>
                <w:rFonts w:ascii="Arial" w:eastAsia="Times New Roman" w:hAnsi="Arial" w:cs="Arial"/>
                <w:b/>
                <w:bCs/>
                <w:color w:val="000000"/>
                <w:sz w:val="20"/>
                <w:szCs w:val="20"/>
                <w:lang w:eastAsia="ru-RU"/>
              </w:rPr>
              <w:t>2</w:t>
            </w:r>
          </w:p>
        </w:tc>
        <w:tc>
          <w:tcPr>
            <w:tcW w:w="2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6344FF59" w14:textId="77777777" w:rsidR="00097ED0" w:rsidRPr="00097ED0" w:rsidRDefault="00097ED0" w:rsidP="00097ED0">
            <w:pPr>
              <w:spacing w:after="0"/>
              <w:jc w:val="center"/>
              <w:rPr>
                <w:rFonts w:ascii="Arial" w:eastAsia="Times New Roman" w:hAnsi="Arial" w:cs="Arial"/>
                <w:color w:val="000000"/>
                <w:sz w:val="20"/>
                <w:szCs w:val="20"/>
                <w:lang w:eastAsia="ru-RU"/>
              </w:rPr>
            </w:pPr>
            <w:r w:rsidRPr="00097ED0">
              <w:rPr>
                <w:rFonts w:ascii="Arial" w:eastAsia="Times New Roman" w:hAnsi="Arial" w:cs="Arial"/>
                <w:b/>
                <w:bCs/>
                <w:color w:val="000000"/>
                <w:sz w:val="20"/>
                <w:szCs w:val="20"/>
                <w:lang w:eastAsia="ru-RU"/>
              </w:rPr>
              <w:t>3</w:t>
            </w:r>
          </w:p>
        </w:tc>
        <w:tc>
          <w:tcPr>
            <w:tcW w:w="2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6904DFD5" w14:textId="77777777" w:rsidR="00097ED0" w:rsidRPr="00097ED0" w:rsidRDefault="00097ED0" w:rsidP="00097ED0">
            <w:pPr>
              <w:spacing w:after="0"/>
              <w:jc w:val="center"/>
              <w:rPr>
                <w:rFonts w:ascii="Arial" w:eastAsia="Times New Roman" w:hAnsi="Arial" w:cs="Arial"/>
                <w:color w:val="000000"/>
                <w:sz w:val="20"/>
                <w:szCs w:val="20"/>
                <w:lang w:eastAsia="ru-RU"/>
              </w:rPr>
            </w:pPr>
            <w:r w:rsidRPr="00097ED0">
              <w:rPr>
                <w:rFonts w:ascii="Arial" w:eastAsia="Times New Roman" w:hAnsi="Arial" w:cs="Arial"/>
                <w:b/>
                <w:bCs/>
                <w:color w:val="000000"/>
                <w:sz w:val="20"/>
                <w:szCs w:val="20"/>
                <w:lang w:eastAsia="ru-RU"/>
              </w:rPr>
              <w:t>4</w:t>
            </w:r>
          </w:p>
        </w:tc>
        <w:tc>
          <w:tcPr>
            <w:tcW w:w="2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7B0BDACC" w14:textId="77777777" w:rsidR="00097ED0" w:rsidRPr="00097ED0" w:rsidRDefault="00097ED0" w:rsidP="00097ED0">
            <w:pPr>
              <w:spacing w:after="0"/>
              <w:jc w:val="center"/>
              <w:rPr>
                <w:rFonts w:ascii="Arial" w:eastAsia="Times New Roman" w:hAnsi="Arial" w:cs="Arial"/>
                <w:color w:val="000000"/>
                <w:sz w:val="20"/>
                <w:szCs w:val="20"/>
                <w:lang w:eastAsia="ru-RU"/>
              </w:rPr>
            </w:pPr>
            <w:r w:rsidRPr="00097ED0">
              <w:rPr>
                <w:rFonts w:ascii="Arial" w:eastAsia="Times New Roman" w:hAnsi="Arial" w:cs="Arial"/>
                <w:b/>
                <w:bCs/>
                <w:color w:val="000000"/>
                <w:sz w:val="20"/>
                <w:szCs w:val="20"/>
                <w:lang w:eastAsia="ru-RU"/>
              </w:rPr>
              <w:t>5</w:t>
            </w:r>
          </w:p>
        </w:tc>
        <w:tc>
          <w:tcPr>
            <w:tcW w:w="2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10D5BDF2" w14:textId="77777777" w:rsidR="00097ED0" w:rsidRPr="00097ED0" w:rsidRDefault="00097ED0" w:rsidP="00097ED0">
            <w:pPr>
              <w:spacing w:after="0"/>
              <w:jc w:val="center"/>
              <w:rPr>
                <w:rFonts w:ascii="Arial" w:eastAsia="Times New Roman" w:hAnsi="Arial" w:cs="Arial"/>
                <w:color w:val="000000"/>
                <w:sz w:val="20"/>
                <w:szCs w:val="20"/>
                <w:lang w:eastAsia="ru-RU"/>
              </w:rPr>
            </w:pPr>
            <w:r w:rsidRPr="00097ED0">
              <w:rPr>
                <w:rFonts w:ascii="Arial" w:eastAsia="Times New Roman" w:hAnsi="Arial" w:cs="Arial"/>
                <w:b/>
                <w:bCs/>
                <w:color w:val="000000"/>
                <w:sz w:val="20"/>
                <w:szCs w:val="20"/>
                <w:lang w:eastAsia="ru-RU"/>
              </w:rPr>
              <w:t>6</w:t>
            </w:r>
          </w:p>
        </w:tc>
        <w:tc>
          <w:tcPr>
            <w:tcW w:w="2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72E4ADE0" w14:textId="77777777" w:rsidR="00097ED0" w:rsidRPr="00097ED0" w:rsidRDefault="00097ED0" w:rsidP="00097ED0">
            <w:pPr>
              <w:spacing w:after="0"/>
              <w:jc w:val="center"/>
              <w:rPr>
                <w:rFonts w:ascii="Arial" w:eastAsia="Times New Roman" w:hAnsi="Arial" w:cs="Arial"/>
                <w:color w:val="000000"/>
                <w:sz w:val="20"/>
                <w:szCs w:val="20"/>
                <w:lang w:eastAsia="ru-RU"/>
              </w:rPr>
            </w:pPr>
            <w:r w:rsidRPr="00097ED0">
              <w:rPr>
                <w:rFonts w:ascii="Arial" w:eastAsia="Times New Roman" w:hAnsi="Arial" w:cs="Arial"/>
                <w:b/>
                <w:bCs/>
                <w:color w:val="000000"/>
                <w:sz w:val="20"/>
                <w:szCs w:val="20"/>
                <w:lang w:eastAsia="ru-RU"/>
              </w:rPr>
              <w:t>7</w:t>
            </w:r>
          </w:p>
        </w:tc>
        <w:tc>
          <w:tcPr>
            <w:tcW w:w="2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49EF56B9" w14:textId="77777777" w:rsidR="00097ED0" w:rsidRPr="00097ED0" w:rsidRDefault="00097ED0" w:rsidP="00097ED0">
            <w:pPr>
              <w:spacing w:after="0"/>
              <w:jc w:val="center"/>
              <w:rPr>
                <w:rFonts w:ascii="Arial" w:eastAsia="Times New Roman" w:hAnsi="Arial" w:cs="Arial"/>
                <w:color w:val="000000"/>
                <w:sz w:val="20"/>
                <w:szCs w:val="20"/>
                <w:lang w:eastAsia="ru-RU"/>
              </w:rPr>
            </w:pPr>
            <w:r w:rsidRPr="00097ED0">
              <w:rPr>
                <w:rFonts w:ascii="Arial" w:eastAsia="Times New Roman" w:hAnsi="Arial" w:cs="Arial"/>
                <w:b/>
                <w:bCs/>
                <w:color w:val="000000"/>
                <w:sz w:val="20"/>
                <w:szCs w:val="20"/>
                <w:lang w:eastAsia="ru-RU"/>
              </w:rPr>
              <w:t>8</w:t>
            </w:r>
          </w:p>
        </w:tc>
        <w:tc>
          <w:tcPr>
            <w:tcW w:w="2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7DDEC3DB" w14:textId="77777777" w:rsidR="00097ED0" w:rsidRPr="00097ED0" w:rsidRDefault="00097ED0" w:rsidP="00097ED0">
            <w:pPr>
              <w:spacing w:after="0"/>
              <w:jc w:val="center"/>
              <w:rPr>
                <w:rFonts w:ascii="Arial" w:eastAsia="Times New Roman" w:hAnsi="Arial" w:cs="Arial"/>
                <w:color w:val="000000"/>
                <w:sz w:val="20"/>
                <w:szCs w:val="20"/>
                <w:lang w:eastAsia="ru-RU"/>
              </w:rPr>
            </w:pPr>
            <w:r w:rsidRPr="00097ED0">
              <w:rPr>
                <w:rFonts w:ascii="Arial" w:eastAsia="Times New Roman" w:hAnsi="Arial" w:cs="Arial"/>
                <w:b/>
                <w:bCs/>
                <w:color w:val="000000"/>
                <w:sz w:val="20"/>
                <w:szCs w:val="20"/>
                <w:lang w:eastAsia="ru-RU"/>
              </w:rPr>
              <w:t>9</w:t>
            </w:r>
          </w:p>
        </w:tc>
        <w:tc>
          <w:tcPr>
            <w:tcW w:w="2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660CA1CA" w14:textId="77777777" w:rsidR="00097ED0" w:rsidRPr="00097ED0" w:rsidRDefault="00097ED0" w:rsidP="00097ED0">
            <w:pPr>
              <w:spacing w:after="0"/>
              <w:jc w:val="center"/>
              <w:rPr>
                <w:rFonts w:ascii="Arial" w:eastAsia="Times New Roman" w:hAnsi="Arial" w:cs="Arial"/>
                <w:color w:val="000000"/>
                <w:sz w:val="20"/>
                <w:szCs w:val="20"/>
                <w:lang w:eastAsia="ru-RU"/>
              </w:rPr>
            </w:pPr>
            <w:r w:rsidRPr="00097ED0">
              <w:rPr>
                <w:rFonts w:ascii="Arial" w:eastAsia="Times New Roman" w:hAnsi="Arial" w:cs="Arial"/>
                <w:b/>
                <w:bCs/>
                <w:color w:val="000000"/>
                <w:sz w:val="20"/>
                <w:szCs w:val="20"/>
                <w:lang w:eastAsia="ru-RU"/>
              </w:rPr>
              <w:t>10</w:t>
            </w:r>
          </w:p>
        </w:tc>
      </w:tr>
      <w:tr w:rsidR="00097ED0" w:rsidRPr="00097ED0" w14:paraId="1C7AE9D1" w14:textId="77777777" w:rsidTr="00097ED0">
        <w:trPr>
          <w:trHeight w:val="192"/>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774B4CE3"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b/>
                <w:bCs/>
                <w:color w:val="000000"/>
                <w:sz w:val="20"/>
                <w:szCs w:val="20"/>
                <w:lang w:eastAsia="ru-RU"/>
              </w:rPr>
              <w:t>Систематический риск</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1ED19056"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689AEE0F"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1AABA5D8"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460614A1"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72523110"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6312514"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6684A41"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9F57F38"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A1E7EDB"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EF56689"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676B5A7A"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r>
      <w:tr w:rsidR="00097ED0" w:rsidRPr="00097ED0" w14:paraId="3427FED9" w14:textId="77777777" w:rsidTr="00097ED0">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268B531"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Ухудшение общей экономической ситуации</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75FBF077"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Динамичный</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D44F300"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92B24E3"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4732E2CB"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b/>
                <w:bCs/>
                <w:color w:val="000000"/>
                <w:sz w:val="20"/>
                <w:szCs w:val="20"/>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063366C8"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7CFAC2BF"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B0E0D27"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51B5D13"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5CE5574"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77B11BC7"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60839CEC"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r>
      <w:tr w:rsidR="00097ED0" w:rsidRPr="00097ED0" w14:paraId="1D0025F7" w14:textId="77777777" w:rsidTr="00097ED0">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7D68A0FF"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Увеличение числа конкурирующих объектов</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1F5527F"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Динамичный</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B6A8F5B"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20A58E5"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20123EE"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10CC3A08"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05DAECD9"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ABCED31"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7CE438A7"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A5E6649"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7286F607"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E995FE2"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r>
      <w:tr w:rsidR="00097ED0" w:rsidRPr="00097ED0" w14:paraId="2CCFA55D" w14:textId="77777777" w:rsidTr="00097ED0">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9BD2570"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Изменение федерального или местного законодательства</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851EFB6"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Динамичный</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A65F188"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13EFD523"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72D05450"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D3F6E89"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45803FC8"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641BB678"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1633F921"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62E9312A"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71011B8"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E84842E"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r>
      <w:tr w:rsidR="00097ED0" w:rsidRPr="00097ED0" w14:paraId="0E68B040" w14:textId="77777777" w:rsidTr="00097ED0">
        <w:trPr>
          <w:trHeight w:val="192"/>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507B3A8"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b/>
                <w:bCs/>
                <w:color w:val="000000"/>
                <w:sz w:val="20"/>
                <w:szCs w:val="20"/>
                <w:lang w:eastAsia="ru-RU"/>
              </w:rPr>
              <w:t>Несистематический риск</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038409D4"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7B79BCAA"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0847BDDF"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434BCE15"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4E2DCCB3"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4E12DD65"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44C45AE3"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BDF7F39"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08206F7F"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F62210B"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29A8EE4"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r>
      <w:tr w:rsidR="00097ED0" w:rsidRPr="00097ED0" w14:paraId="0829A1D8" w14:textId="77777777" w:rsidTr="00097ED0">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613E3E8C"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Природные и антропогенные чрезвычайные ситуации</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BF25CA6"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Статичный</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0BD91357"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1C7AB94"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040DFE5F"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7E43F6E"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7A622C49"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349D7BE"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62E66B2A"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CAA0D9D"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62D91454"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CEDC19E"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r>
      <w:tr w:rsidR="00097ED0" w:rsidRPr="00097ED0" w14:paraId="1C272E10" w14:textId="77777777" w:rsidTr="00097ED0">
        <w:trPr>
          <w:trHeight w:val="84"/>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40328DF9"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Неполучение платежей</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6E7D4D44"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Динамичный</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80A124D"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156D03B2"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12337079"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A6E9D42"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6093DBDE"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366CD42"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9DD2F40"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756A6EA8"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0F241D05"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7779F133"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r>
      <w:tr w:rsidR="00097ED0" w:rsidRPr="00097ED0" w14:paraId="0B2DD685" w14:textId="77777777" w:rsidTr="00097ED0">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61ECB18"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Неэффективный менеджмент</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066222CD"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Динамичный</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7DDDC618"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40058CB1"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FF33373"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00991C1"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A295DD3"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100130C9"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18B94D4A"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17D6C130"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4BE15D9"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B58DD48"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r>
      <w:tr w:rsidR="00097ED0" w:rsidRPr="00097ED0" w14:paraId="6BC667E9" w14:textId="77777777" w:rsidTr="00097ED0">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788B6B1A"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Криминогенные факторы</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1798CCE4"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Динамичный</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BF917D3"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7E13E10D"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BADA309"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F547F17"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79C61A2"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55A5A3F"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1644E6ED"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6C5BC2E0"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174FEEBC"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70865060"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r>
      <w:tr w:rsidR="00097ED0" w:rsidRPr="00097ED0" w14:paraId="660C89DC" w14:textId="77777777" w:rsidTr="00097ED0">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58D4B5C"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Финансовые проверки</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0890C9B0"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Динамичный</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596206E"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B66FE57"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19383C67"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1D720B5E"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B2AE7B8"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78085E20"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740FDB1F"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1F562AE0"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47B79B88"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69D6872C"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r>
      <w:tr w:rsidR="00097ED0" w:rsidRPr="00097ED0" w14:paraId="6D59B828" w14:textId="77777777" w:rsidTr="00097ED0">
        <w:trPr>
          <w:trHeight w:val="180"/>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0A11A5D3"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Неправильное оформление договоров</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62134E84"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Динамичный</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19B80701"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43F17E2A"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281F211"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6E3043B9"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4CA31055"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6B67E19"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42104A2B"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05FA193C"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66A6BC74"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598AE0C"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r>
      <w:tr w:rsidR="00097ED0" w:rsidRPr="00097ED0" w14:paraId="1F2926FA" w14:textId="77777777" w:rsidTr="00097ED0">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5FAC068"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Количество наблюдений</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1FB42296" w14:textId="77777777" w:rsidR="00097ED0" w:rsidRPr="00097ED0" w:rsidRDefault="00097ED0" w:rsidP="00097ED0">
            <w:pPr>
              <w:spacing w:after="0"/>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C9F8EEF"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703B5ABC"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014DE6D"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2</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BA5C674"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2</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11BB153A"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12A17AE"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0</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6DB3E3C"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3EF5D56"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00DC8868"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2</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769C14B"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0</w:t>
            </w:r>
          </w:p>
        </w:tc>
      </w:tr>
      <w:tr w:rsidR="00097ED0" w:rsidRPr="00097ED0" w14:paraId="76DC1AC2" w14:textId="77777777" w:rsidTr="00097ED0">
        <w:trPr>
          <w:tblCellSpacing w:w="0" w:type="dxa"/>
        </w:trPr>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center"/>
            <w:hideMark/>
          </w:tcPr>
          <w:p w14:paraId="08C903CD" w14:textId="77777777" w:rsidR="00097ED0" w:rsidRPr="00097ED0" w:rsidRDefault="00097ED0" w:rsidP="00097ED0">
            <w:pPr>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b/>
                <w:bCs/>
                <w:color w:val="000000"/>
                <w:sz w:val="20"/>
                <w:szCs w:val="20"/>
                <w:lang w:eastAsia="ru-RU"/>
              </w:rPr>
              <w:t>Средневзвешенное значение</w:t>
            </w:r>
          </w:p>
        </w:tc>
        <w:tc>
          <w:tcPr>
            <w:tcW w:w="0" w:type="auto"/>
            <w:gridSpan w:val="10"/>
            <w:tcBorders>
              <w:top w:val="outset" w:sz="6" w:space="0" w:color="auto"/>
              <w:left w:val="outset" w:sz="6" w:space="0" w:color="auto"/>
              <w:bottom w:val="outset" w:sz="6" w:space="0" w:color="auto"/>
              <w:right w:val="outset" w:sz="6" w:space="0" w:color="auto"/>
            </w:tcBorders>
            <w:shd w:val="clear" w:color="auto" w:fill="FFFFFF"/>
            <w:vAlign w:val="center"/>
            <w:hideMark/>
          </w:tcPr>
          <w:p w14:paraId="22A3896F" w14:textId="77777777" w:rsidR="00097ED0" w:rsidRPr="00097ED0" w:rsidRDefault="00097ED0" w:rsidP="00097ED0">
            <w:pPr>
              <w:spacing w:after="0"/>
              <w:jc w:val="center"/>
              <w:rPr>
                <w:rFonts w:ascii="Arial" w:eastAsia="Times New Roman" w:hAnsi="Arial" w:cs="Arial"/>
                <w:color w:val="000000"/>
                <w:sz w:val="20"/>
                <w:szCs w:val="20"/>
                <w:lang w:eastAsia="ru-RU"/>
              </w:rPr>
            </w:pPr>
            <w:r w:rsidRPr="00097ED0">
              <w:rPr>
                <w:rFonts w:ascii="Arial" w:eastAsia="Times New Roman" w:hAnsi="Arial" w:cs="Arial"/>
                <w:b/>
                <w:bCs/>
                <w:color w:val="000000"/>
                <w:sz w:val="20"/>
                <w:szCs w:val="20"/>
                <w:lang w:eastAsia="ru-RU"/>
              </w:rPr>
              <w:t>5,9</w:t>
            </w:r>
          </w:p>
        </w:tc>
      </w:tr>
    </w:tbl>
    <w:p w14:paraId="74FB8C35" w14:textId="77777777" w:rsidR="00097ED0" w:rsidRPr="00097ED0" w:rsidRDefault="00097ED0" w:rsidP="00097ED0">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b/>
          <w:bCs/>
          <w:color w:val="000000"/>
          <w:sz w:val="20"/>
          <w:szCs w:val="20"/>
          <w:lang w:eastAsia="ru-RU"/>
        </w:rPr>
        <w:t xml:space="preserve">Поправка </w:t>
      </w:r>
      <w:proofErr w:type="gramStart"/>
      <w:r w:rsidRPr="00097ED0">
        <w:rPr>
          <w:rFonts w:ascii="Arial" w:eastAsia="Times New Roman" w:hAnsi="Arial" w:cs="Arial"/>
          <w:b/>
          <w:bCs/>
          <w:color w:val="000000"/>
          <w:sz w:val="20"/>
          <w:szCs w:val="20"/>
          <w:lang w:eastAsia="ru-RU"/>
        </w:rPr>
        <w:t>на низкую ликвидность</w:t>
      </w:r>
      <w:r w:rsidRPr="00097ED0">
        <w:rPr>
          <w:rFonts w:ascii="Arial" w:eastAsia="Times New Roman" w:hAnsi="Arial" w:cs="Arial"/>
          <w:color w:val="000000"/>
          <w:sz w:val="20"/>
          <w:szCs w:val="20"/>
          <w:lang w:eastAsia="ru-RU"/>
        </w:rPr>
        <w:t> это</w:t>
      </w:r>
      <w:proofErr w:type="gramEnd"/>
      <w:r w:rsidRPr="00097ED0">
        <w:rPr>
          <w:rFonts w:ascii="Arial" w:eastAsia="Times New Roman" w:hAnsi="Arial" w:cs="Arial"/>
          <w:color w:val="000000"/>
          <w:sz w:val="20"/>
          <w:szCs w:val="20"/>
          <w:lang w:eastAsia="ru-RU"/>
        </w:rPr>
        <w:t xml:space="preserve"> поправка на потерю прибыли в течение срока экспозиции объекта.</w:t>
      </w:r>
      <w:r w:rsidRPr="00097ED0">
        <w:rPr>
          <w:rFonts w:ascii="Arial" w:eastAsia="Times New Roman" w:hAnsi="Arial" w:cs="Arial"/>
          <w:color w:val="000000"/>
          <w:sz w:val="20"/>
          <w:szCs w:val="20"/>
          <w:lang w:eastAsia="ru-RU"/>
        </w:rPr>
        <w:br/>
        <w:t xml:space="preserve">Размер поправки был определен </w:t>
      </w:r>
      <w:proofErr w:type="spellStart"/>
      <w:r w:rsidRPr="00097ED0">
        <w:rPr>
          <w:rFonts w:ascii="Arial" w:eastAsia="Times New Roman" w:hAnsi="Arial" w:cs="Arial"/>
          <w:color w:val="000000"/>
          <w:sz w:val="20"/>
          <w:szCs w:val="20"/>
          <w:lang w:eastAsia="ru-RU"/>
        </w:rPr>
        <w:t>экспертно</w:t>
      </w:r>
      <w:proofErr w:type="spellEnd"/>
      <w:r w:rsidRPr="00097ED0">
        <w:rPr>
          <w:rFonts w:ascii="Arial" w:eastAsia="Times New Roman" w:hAnsi="Arial" w:cs="Arial"/>
          <w:color w:val="000000"/>
          <w:sz w:val="20"/>
          <w:szCs w:val="20"/>
          <w:lang w:eastAsia="ru-RU"/>
        </w:rPr>
        <w:t xml:space="preserve"> на уровне 2%.</w:t>
      </w:r>
    </w:p>
    <w:p w14:paraId="713EBBEC" w14:textId="77777777" w:rsidR="00097ED0" w:rsidRPr="00097ED0" w:rsidRDefault="00097ED0" w:rsidP="00097ED0">
      <w:pPr>
        <w:shd w:val="clear" w:color="auto" w:fill="FFFFFF"/>
        <w:spacing w:before="100" w:beforeAutospacing="1" w:after="100" w:afterAutospacing="1" w:line="280" w:lineRule="atLeast"/>
        <w:ind w:left="720"/>
        <w:jc w:val="center"/>
        <w:rPr>
          <w:rFonts w:ascii="Arial" w:eastAsia="Times New Roman" w:hAnsi="Arial" w:cs="Arial"/>
          <w:color w:val="000000"/>
          <w:sz w:val="20"/>
          <w:szCs w:val="20"/>
          <w:lang w:eastAsia="ru-RU"/>
        </w:rPr>
      </w:pPr>
      <w:r w:rsidRPr="00097ED0">
        <w:rPr>
          <w:rFonts w:ascii="Arial" w:eastAsia="Times New Roman" w:hAnsi="Arial" w:cs="Arial"/>
          <w:b/>
          <w:bCs/>
          <w:color w:val="000000"/>
          <w:sz w:val="20"/>
          <w:szCs w:val="20"/>
          <w:lang w:eastAsia="ru-RU"/>
        </w:rPr>
        <w:t>Определение нормы возврата капитала</w:t>
      </w:r>
    </w:p>
    <w:p w14:paraId="0EBC3184" w14:textId="77777777" w:rsidR="00097ED0" w:rsidRPr="00097ED0" w:rsidRDefault="00097ED0" w:rsidP="00097ED0">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Как отмечалось выше, коэффициент капитализации R включает ставку дохода на капитал и норму возврата, учитывающую возмещение первоначально вложенных средств.</w:t>
      </w:r>
      <w:r w:rsidRPr="00097ED0">
        <w:rPr>
          <w:rFonts w:ascii="Arial" w:eastAsia="Times New Roman" w:hAnsi="Arial" w:cs="Arial"/>
          <w:color w:val="000000"/>
          <w:sz w:val="20"/>
          <w:szCs w:val="20"/>
          <w:lang w:eastAsia="ru-RU"/>
        </w:rPr>
        <w:br/>
        <w:t xml:space="preserve">Норма возврата капитала оценщиком была выбрана на основе данных бухгалтерского учета, из которых следует, что полезный срок службы в среднем составляет 20 лет, </w:t>
      </w:r>
      <w:proofErr w:type="spellStart"/>
      <w:r w:rsidRPr="00097ED0">
        <w:rPr>
          <w:rFonts w:ascii="Arial" w:eastAsia="Times New Roman" w:hAnsi="Arial" w:cs="Arial"/>
          <w:color w:val="000000"/>
          <w:sz w:val="20"/>
          <w:szCs w:val="20"/>
          <w:lang w:eastAsia="ru-RU"/>
        </w:rPr>
        <w:t>т.е</w:t>
      </w:r>
      <w:proofErr w:type="spellEnd"/>
      <w:r w:rsidRPr="00097ED0">
        <w:rPr>
          <w:rFonts w:ascii="Arial" w:eastAsia="Times New Roman" w:hAnsi="Arial" w:cs="Arial"/>
          <w:color w:val="000000"/>
          <w:sz w:val="20"/>
          <w:szCs w:val="20"/>
          <w:lang w:eastAsia="ru-RU"/>
        </w:rPr>
        <w:t xml:space="preserve"> норма возврата капитала составит 5%:</w:t>
      </w:r>
    </w:p>
    <w:p w14:paraId="64C45444" w14:textId="77777777" w:rsidR="00097ED0" w:rsidRPr="00097ED0" w:rsidRDefault="00097ED0" w:rsidP="00097ED0">
      <w:pPr>
        <w:shd w:val="clear" w:color="auto" w:fill="FFFFFF"/>
        <w:spacing w:before="100" w:beforeAutospacing="1" w:after="100" w:afterAutospacing="1" w:line="280" w:lineRule="atLeast"/>
        <w:jc w:val="center"/>
        <w:rPr>
          <w:rFonts w:ascii="Arial" w:eastAsia="Times New Roman" w:hAnsi="Arial" w:cs="Arial"/>
          <w:color w:val="000000"/>
          <w:sz w:val="20"/>
          <w:szCs w:val="20"/>
          <w:lang w:eastAsia="ru-RU"/>
        </w:rPr>
      </w:pPr>
      <w:r w:rsidRPr="00097ED0">
        <w:rPr>
          <w:rFonts w:ascii="Arial" w:eastAsia="Times New Roman" w:hAnsi="Arial" w:cs="Arial"/>
          <w:b/>
          <w:bCs/>
          <w:color w:val="000000"/>
          <w:sz w:val="20"/>
          <w:szCs w:val="20"/>
          <w:lang w:eastAsia="ru-RU"/>
        </w:rPr>
        <w:t>Таблица расчета ставки капитализации</w:t>
      </w:r>
    </w:p>
    <w:p w14:paraId="5AE1A133" w14:textId="77777777" w:rsidR="00097ED0" w:rsidRPr="00097ED0" w:rsidRDefault="00097ED0" w:rsidP="00097ED0">
      <w:pPr>
        <w:shd w:val="clear" w:color="auto" w:fill="FFFFFF"/>
        <w:spacing w:before="100" w:beforeAutospacing="1" w:after="100" w:afterAutospacing="1" w:line="280" w:lineRule="atLeast"/>
        <w:jc w:val="right"/>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Таблица 2</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top w:w="96" w:type="dxa"/>
          <w:left w:w="96" w:type="dxa"/>
          <w:bottom w:w="96" w:type="dxa"/>
          <w:right w:w="96" w:type="dxa"/>
        </w:tblCellMar>
        <w:tblLook w:val="04A0" w:firstRow="1" w:lastRow="0" w:firstColumn="1" w:lastColumn="0" w:noHBand="0" w:noVBand="1"/>
      </w:tblPr>
      <w:tblGrid>
        <w:gridCol w:w="4545"/>
        <w:gridCol w:w="1768"/>
      </w:tblGrid>
      <w:tr w:rsidR="00097ED0" w:rsidRPr="00097ED0" w14:paraId="09BC9ECF" w14:textId="77777777" w:rsidTr="00097ED0">
        <w:trPr>
          <w:trHeight w:val="144"/>
          <w:tblCellSpacing w:w="0" w:type="dxa"/>
          <w:jc w:val="center"/>
        </w:trPr>
        <w:tc>
          <w:tcPr>
            <w:tcW w:w="36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1CF1FBF8" w14:textId="77777777" w:rsidR="00097ED0" w:rsidRPr="00097ED0" w:rsidRDefault="00097ED0" w:rsidP="00097ED0">
            <w:pPr>
              <w:spacing w:after="0"/>
              <w:jc w:val="center"/>
              <w:rPr>
                <w:rFonts w:ascii="Arial" w:eastAsia="Times New Roman" w:hAnsi="Arial" w:cs="Arial"/>
                <w:color w:val="000000"/>
                <w:sz w:val="20"/>
                <w:szCs w:val="20"/>
                <w:lang w:eastAsia="ru-RU"/>
              </w:rPr>
            </w:pPr>
            <w:r w:rsidRPr="00097ED0">
              <w:rPr>
                <w:rFonts w:ascii="Arial" w:eastAsia="Times New Roman" w:hAnsi="Arial" w:cs="Arial"/>
                <w:b/>
                <w:bCs/>
                <w:color w:val="000000"/>
                <w:sz w:val="20"/>
                <w:szCs w:val="20"/>
                <w:lang w:eastAsia="ru-RU"/>
              </w:rPr>
              <w:t>Наименование риска</w:t>
            </w:r>
          </w:p>
        </w:tc>
        <w:tc>
          <w:tcPr>
            <w:tcW w:w="14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0A5C15CA" w14:textId="77777777" w:rsidR="00097ED0" w:rsidRPr="00097ED0" w:rsidRDefault="00097ED0" w:rsidP="00097ED0">
            <w:pPr>
              <w:spacing w:after="0"/>
              <w:jc w:val="center"/>
              <w:rPr>
                <w:rFonts w:ascii="Arial" w:eastAsia="Times New Roman" w:hAnsi="Arial" w:cs="Arial"/>
                <w:color w:val="000000"/>
                <w:sz w:val="20"/>
                <w:szCs w:val="20"/>
                <w:lang w:eastAsia="ru-RU"/>
              </w:rPr>
            </w:pPr>
            <w:r w:rsidRPr="00097ED0">
              <w:rPr>
                <w:rFonts w:ascii="Arial" w:eastAsia="Times New Roman" w:hAnsi="Arial" w:cs="Arial"/>
                <w:b/>
                <w:bCs/>
                <w:color w:val="000000"/>
                <w:sz w:val="20"/>
                <w:szCs w:val="20"/>
                <w:lang w:eastAsia="ru-RU"/>
              </w:rPr>
              <w:t>Величина, %</w:t>
            </w:r>
          </w:p>
        </w:tc>
      </w:tr>
      <w:tr w:rsidR="00097ED0" w:rsidRPr="00097ED0" w14:paraId="5910CA47" w14:textId="77777777" w:rsidTr="00097ED0">
        <w:trPr>
          <w:trHeight w:val="144"/>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2425160F" w14:textId="77777777" w:rsidR="00097ED0" w:rsidRPr="00097ED0" w:rsidRDefault="00097ED0" w:rsidP="00097ED0">
            <w:pPr>
              <w:spacing w:after="0"/>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Безрисковая ставка доходности</w:t>
            </w:r>
          </w:p>
        </w:tc>
        <w:tc>
          <w:tcPr>
            <w:tcW w:w="0" w:type="auto"/>
            <w:tcBorders>
              <w:top w:val="outset" w:sz="6" w:space="0" w:color="auto"/>
              <w:left w:val="outset" w:sz="6" w:space="0" w:color="auto"/>
              <w:bottom w:val="outset" w:sz="6" w:space="0" w:color="auto"/>
              <w:right w:val="outset" w:sz="6" w:space="0" w:color="auto"/>
            </w:tcBorders>
            <w:hideMark/>
          </w:tcPr>
          <w:p w14:paraId="3DCC1364" w14:textId="77777777" w:rsidR="00097ED0" w:rsidRPr="00097ED0" w:rsidRDefault="00097ED0" w:rsidP="00097ED0">
            <w:pPr>
              <w:spacing w:after="0"/>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6,8</w:t>
            </w:r>
          </w:p>
        </w:tc>
      </w:tr>
      <w:tr w:rsidR="00097ED0" w:rsidRPr="00097ED0" w14:paraId="56E658EC" w14:textId="77777777" w:rsidTr="00097ED0">
        <w:trPr>
          <w:trHeight w:val="144"/>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742CF5A8" w14:textId="77777777" w:rsidR="00097ED0" w:rsidRPr="00097ED0" w:rsidRDefault="00097ED0" w:rsidP="00097ED0">
            <w:pPr>
              <w:spacing w:after="0"/>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Региональный риск</w:t>
            </w:r>
          </w:p>
        </w:tc>
        <w:tc>
          <w:tcPr>
            <w:tcW w:w="0" w:type="auto"/>
            <w:tcBorders>
              <w:top w:val="outset" w:sz="6" w:space="0" w:color="auto"/>
              <w:left w:val="outset" w:sz="6" w:space="0" w:color="auto"/>
              <w:bottom w:val="outset" w:sz="6" w:space="0" w:color="auto"/>
              <w:right w:val="outset" w:sz="6" w:space="0" w:color="auto"/>
            </w:tcBorders>
            <w:hideMark/>
          </w:tcPr>
          <w:p w14:paraId="7BD93580" w14:textId="77777777" w:rsidR="00097ED0" w:rsidRPr="00097ED0" w:rsidRDefault="00097ED0" w:rsidP="00097ED0">
            <w:pPr>
              <w:spacing w:after="0"/>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2,8</w:t>
            </w:r>
          </w:p>
        </w:tc>
      </w:tr>
      <w:tr w:rsidR="00097ED0" w:rsidRPr="00097ED0" w14:paraId="14F5365E" w14:textId="77777777" w:rsidTr="00097ED0">
        <w:trPr>
          <w:trHeight w:val="144"/>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5DEE4573" w14:textId="77777777" w:rsidR="00097ED0" w:rsidRPr="00097ED0" w:rsidRDefault="00097ED0" w:rsidP="00097ED0">
            <w:pPr>
              <w:spacing w:after="0"/>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lastRenderedPageBreak/>
              <w:t>Поправка за предпринимательский риск</w:t>
            </w:r>
          </w:p>
        </w:tc>
        <w:tc>
          <w:tcPr>
            <w:tcW w:w="0" w:type="auto"/>
            <w:tcBorders>
              <w:top w:val="outset" w:sz="6" w:space="0" w:color="auto"/>
              <w:left w:val="outset" w:sz="6" w:space="0" w:color="auto"/>
              <w:bottom w:val="outset" w:sz="6" w:space="0" w:color="auto"/>
              <w:right w:val="outset" w:sz="6" w:space="0" w:color="auto"/>
            </w:tcBorders>
            <w:hideMark/>
          </w:tcPr>
          <w:p w14:paraId="18EB4650" w14:textId="77777777" w:rsidR="00097ED0" w:rsidRPr="00097ED0" w:rsidRDefault="00097ED0" w:rsidP="00097ED0">
            <w:pPr>
              <w:spacing w:after="0"/>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5,9</w:t>
            </w:r>
          </w:p>
        </w:tc>
      </w:tr>
      <w:tr w:rsidR="00097ED0" w:rsidRPr="00097ED0" w14:paraId="7B5C44C6" w14:textId="77777777" w:rsidTr="00097ED0">
        <w:trPr>
          <w:trHeight w:val="144"/>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1E337CAE" w14:textId="77777777" w:rsidR="00097ED0" w:rsidRPr="00097ED0" w:rsidRDefault="00097ED0" w:rsidP="00097ED0">
            <w:pPr>
              <w:spacing w:after="0"/>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Премия за низкую ликвидность недвижимости</w:t>
            </w:r>
          </w:p>
        </w:tc>
        <w:tc>
          <w:tcPr>
            <w:tcW w:w="0" w:type="auto"/>
            <w:tcBorders>
              <w:top w:val="outset" w:sz="6" w:space="0" w:color="auto"/>
              <w:left w:val="outset" w:sz="6" w:space="0" w:color="auto"/>
              <w:bottom w:val="outset" w:sz="6" w:space="0" w:color="auto"/>
              <w:right w:val="outset" w:sz="6" w:space="0" w:color="auto"/>
            </w:tcBorders>
            <w:hideMark/>
          </w:tcPr>
          <w:p w14:paraId="3842F275" w14:textId="77777777" w:rsidR="00097ED0" w:rsidRPr="00097ED0" w:rsidRDefault="00097ED0" w:rsidP="00097ED0">
            <w:pPr>
              <w:spacing w:after="0"/>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2</w:t>
            </w:r>
          </w:p>
        </w:tc>
      </w:tr>
      <w:tr w:rsidR="00097ED0" w:rsidRPr="00097ED0" w14:paraId="1A0EB4B6" w14:textId="77777777" w:rsidTr="00097ED0">
        <w:trPr>
          <w:trHeight w:val="144"/>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1DC74AB4" w14:textId="77777777" w:rsidR="00097ED0" w:rsidRPr="00097ED0" w:rsidRDefault="00097ED0" w:rsidP="00097ED0">
            <w:pPr>
              <w:spacing w:after="0"/>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Премия на инвестиционный менеджмент</w:t>
            </w:r>
          </w:p>
        </w:tc>
        <w:tc>
          <w:tcPr>
            <w:tcW w:w="0" w:type="auto"/>
            <w:tcBorders>
              <w:top w:val="outset" w:sz="6" w:space="0" w:color="auto"/>
              <w:left w:val="outset" w:sz="6" w:space="0" w:color="auto"/>
              <w:bottom w:val="outset" w:sz="6" w:space="0" w:color="auto"/>
              <w:right w:val="outset" w:sz="6" w:space="0" w:color="auto"/>
            </w:tcBorders>
            <w:hideMark/>
          </w:tcPr>
          <w:p w14:paraId="0189AF17" w14:textId="77777777" w:rsidR="00097ED0" w:rsidRPr="00097ED0" w:rsidRDefault="00097ED0" w:rsidP="00097ED0">
            <w:pPr>
              <w:spacing w:after="0"/>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2,5</w:t>
            </w:r>
          </w:p>
        </w:tc>
      </w:tr>
      <w:tr w:rsidR="00097ED0" w:rsidRPr="00097ED0" w14:paraId="78C040B7" w14:textId="77777777" w:rsidTr="00097ED0">
        <w:trPr>
          <w:trHeight w:val="144"/>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41377C2A" w14:textId="77777777" w:rsidR="00097ED0" w:rsidRPr="00097ED0" w:rsidRDefault="00097ED0" w:rsidP="00097ED0">
            <w:pPr>
              <w:spacing w:after="0"/>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Норма возврата капитала</w:t>
            </w:r>
          </w:p>
        </w:tc>
        <w:tc>
          <w:tcPr>
            <w:tcW w:w="0" w:type="auto"/>
            <w:tcBorders>
              <w:top w:val="outset" w:sz="6" w:space="0" w:color="auto"/>
              <w:left w:val="outset" w:sz="6" w:space="0" w:color="auto"/>
              <w:bottom w:val="outset" w:sz="6" w:space="0" w:color="auto"/>
              <w:right w:val="outset" w:sz="6" w:space="0" w:color="auto"/>
            </w:tcBorders>
            <w:hideMark/>
          </w:tcPr>
          <w:p w14:paraId="08A338A1" w14:textId="77777777" w:rsidR="00097ED0" w:rsidRPr="00097ED0" w:rsidRDefault="00097ED0" w:rsidP="00097ED0">
            <w:pPr>
              <w:spacing w:after="0"/>
              <w:rPr>
                <w:rFonts w:ascii="Arial" w:eastAsia="Times New Roman" w:hAnsi="Arial" w:cs="Arial"/>
                <w:color w:val="000000"/>
                <w:sz w:val="20"/>
                <w:szCs w:val="20"/>
                <w:lang w:eastAsia="ru-RU"/>
              </w:rPr>
            </w:pPr>
            <w:r w:rsidRPr="00097ED0">
              <w:rPr>
                <w:rFonts w:ascii="Arial" w:eastAsia="Times New Roman" w:hAnsi="Arial" w:cs="Arial"/>
                <w:color w:val="000000"/>
                <w:sz w:val="20"/>
                <w:szCs w:val="20"/>
                <w:lang w:eastAsia="ru-RU"/>
              </w:rPr>
              <w:t>5</w:t>
            </w:r>
          </w:p>
        </w:tc>
      </w:tr>
      <w:tr w:rsidR="00097ED0" w:rsidRPr="00097ED0" w14:paraId="3671B777" w14:textId="77777777" w:rsidTr="00097ED0">
        <w:trPr>
          <w:trHeight w:val="144"/>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027FB095" w14:textId="77777777" w:rsidR="00097ED0" w:rsidRPr="00097ED0" w:rsidRDefault="00097ED0" w:rsidP="00097ED0">
            <w:pPr>
              <w:spacing w:after="0"/>
              <w:rPr>
                <w:rFonts w:ascii="Arial" w:eastAsia="Times New Roman" w:hAnsi="Arial" w:cs="Arial"/>
                <w:color w:val="000000"/>
                <w:sz w:val="20"/>
                <w:szCs w:val="20"/>
                <w:lang w:eastAsia="ru-RU"/>
              </w:rPr>
            </w:pPr>
            <w:r w:rsidRPr="00097ED0">
              <w:rPr>
                <w:rFonts w:ascii="Arial" w:eastAsia="Times New Roman" w:hAnsi="Arial" w:cs="Arial"/>
                <w:b/>
                <w:bCs/>
                <w:color w:val="000000"/>
                <w:sz w:val="20"/>
                <w:szCs w:val="20"/>
                <w:lang w:eastAsia="ru-RU"/>
              </w:rPr>
              <w:t>СУММА</w:t>
            </w:r>
          </w:p>
        </w:tc>
        <w:tc>
          <w:tcPr>
            <w:tcW w:w="0" w:type="auto"/>
            <w:tcBorders>
              <w:top w:val="outset" w:sz="6" w:space="0" w:color="auto"/>
              <w:left w:val="outset" w:sz="6" w:space="0" w:color="auto"/>
              <w:bottom w:val="outset" w:sz="6" w:space="0" w:color="auto"/>
              <w:right w:val="outset" w:sz="6" w:space="0" w:color="auto"/>
            </w:tcBorders>
            <w:hideMark/>
          </w:tcPr>
          <w:p w14:paraId="77A60098" w14:textId="77777777" w:rsidR="00097ED0" w:rsidRPr="00097ED0" w:rsidRDefault="00097ED0" w:rsidP="00097ED0">
            <w:pPr>
              <w:spacing w:after="0"/>
              <w:rPr>
                <w:rFonts w:ascii="Arial" w:eastAsia="Times New Roman" w:hAnsi="Arial" w:cs="Arial"/>
                <w:color w:val="000000"/>
                <w:sz w:val="20"/>
                <w:szCs w:val="20"/>
                <w:lang w:eastAsia="ru-RU"/>
              </w:rPr>
            </w:pPr>
            <w:r w:rsidRPr="00097ED0">
              <w:rPr>
                <w:rFonts w:ascii="Arial" w:eastAsia="Times New Roman" w:hAnsi="Arial" w:cs="Arial"/>
                <w:b/>
                <w:bCs/>
                <w:color w:val="000000"/>
                <w:sz w:val="20"/>
                <w:szCs w:val="20"/>
                <w:lang w:eastAsia="ru-RU"/>
              </w:rPr>
              <w:t>25</w:t>
            </w:r>
          </w:p>
        </w:tc>
      </w:tr>
    </w:tbl>
    <w:p w14:paraId="43981E88" w14:textId="77777777" w:rsidR="00097ED0" w:rsidRPr="00097ED0" w:rsidRDefault="00097ED0" w:rsidP="00097ED0">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097ED0">
        <w:rPr>
          <w:rFonts w:ascii="Arial" w:eastAsia="Times New Roman" w:hAnsi="Arial" w:cs="Arial"/>
          <w:b/>
          <w:bCs/>
          <w:color w:val="000000"/>
          <w:sz w:val="20"/>
          <w:szCs w:val="20"/>
          <w:lang w:eastAsia="ru-RU"/>
        </w:rPr>
        <w:t>Поделиться ссылкой в социальных сетях:</w:t>
      </w:r>
    </w:p>
    <w:p w14:paraId="41686905" w14:textId="77777777" w:rsidR="00F12C76" w:rsidRPr="00097ED0" w:rsidRDefault="00F12C76" w:rsidP="00097ED0"/>
    <w:sectPr w:rsidR="00F12C76" w:rsidRPr="00097ED0"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ED0"/>
    <w:rsid w:val="00097ED0"/>
    <w:rsid w:val="006C0B77"/>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FCEFA"/>
  <w15:chartTrackingRefBased/>
  <w15:docId w15:val="{24290C2B-AA80-4F8F-9ACB-130CFD7F4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link w:val="10"/>
    <w:uiPriority w:val="9"/>
    <w:qFormat/>
    <w:rsid w:val="00097ED0"/>
    <w:pPr>
      <w:spacing w:before="100" w:beforeAutospacing="1" w:after="100" w:afterAutospacing="1"/>
      <w:outlineLvl w:val="0"/>
    </w:pPr>
    <w:rPr>
      <w:rFonts w:eastAsia="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97ED0"/>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097ED0"/>
    <w:pPr>
      <w:spacing w:before="100" w:beforeAutospacing="1" w:after="100" w:afterAutospacing="1"/>
    </w:pPr>
    <w:rPr>
      <w:rFonts w:eastAsia="Times New Roman" w:cs="Times New Roman"/>
      <w:sz w:val="24"/>
      <w:szCs w:val="24"/>
      <w:lang w:eastAsia="ru-RU"/>
    </w:rPr>
  </w:style>
  <w:style w:type="character" w:styleId="a4">
    <w:name w:val="Strong"/>
    <w:basedOn w:val="a0"/>
    <w:uiPriority w:val="22"/>
    <w:qFormat/>
    <w:rsid w:val="00097ED0"/>
    <w:rPr>
      <w:b/>
      <w:bCs/>
    </w:rPr>
  </w:style>
  <w:style w:type="character" w:styleId="a5">
    <w:name w:val="Emphasis"/>
    <w:basedOn w:val="a0"/>
    <w:uiPriority w:val="20"/>
    <w:qFormat/>
    <w:rsid w:val="00097E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901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657</Words>
  <Characters>3748</Characters>
  <Application>Microsoft Office Word</Application>
  <DocSecurity>0</DocSecurity>
  <Lines>31</Lines>
  <Paragraphs>8</Paragraphs>
  <ScaleCrop>false</ScaleCrop>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dc:creator>
  <cp:keywords/>
  <dc:description/>
  <cp:lastModifiedBy>_</cp:lastModifiedBy>
  <cp:revision>1</cp:revision>
  <dcterms:created xsi:type="dcterms:W3CDTF">2025-11-25T12:39:00Z</dcterms:created>
  <dcterms:modified xsi:type="dcterms:W3CDTF">2025-11-25T12:39:00Z</dcterms:modified>
</cp:coreProperties>
</file>