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D1371" w14:textId="77777777" w:rsidR="00A94293" w:rsidRPr="00A94293" w:rsidRDefault="00A94293" w:rsidP="00A94293">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A94293">
        <w:rPr>
          <w:rFonts w:ascii="Arial" w:eastAsia="Times New Roman" w:hAnsi="Arial" w:cs="Arial"/>
          <w:b/>
          <w:bCs/>
          <w:color w:val="014783"/>
          <w:kern w:val="36"/>
          <w:sz w:val="24"/>
          <w:szCs w:val="24"/>
          <w:lang w:eastAsia="ru-RU"/>
        </w:rPr>
        <w:t>Расчет ставки дисконтирования кумулятивным методом (пример)</w:t>
      </w:r>
    </w:p>
    <w:p w14:paraId="37BF9CA2"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 xml:space="preserve">Ставка дисконта — это ожидаемая ставка дохода на вложенный капитал в сопоставимые по уровню риска объекты инвестирования на дату оценки. В теории инвестиционного анализа предполагается, что ставка дисконтирования включает в себя минимально гарантированный уровень доходности (не зависящий от вида инвестиционных вложений), темпы инфляции и коэффициент, учитывающий степень риска и другие специфические особенности конкретного инвестирования (риск данного вида инвестирования, риск неадекватного управления инвестициями, риск </w:t>
      </w:r>
      <w:proofErr w:type="spellStart"/>
      <w:r w:rsidRPr="00A94293">
        <w:rPr>
          <w:rFonts w:ascii="Arial" w:eastAsia="Times New Roman" w:hAnsi="Arial" w:cs="Arial"/>
          <w:color w:val="000000"/>
          <w:sz w:val="20"/>
          <w:szCs w:val="20"/>
          <w:lang w:eastAsia="ru-RU"/>
        </w:rPr>
        <w:t>неликвидности</w:t>
      </w:r>
      <w:proofErr w:type="spellEnd"/>
      <w:r w:rsidRPr="00A94293">
        <w:rPr>
          <w:rFonts w:ascii="Arial" w:eastAsia="Times New Roman" w:hAnsi="Arial" w:cs="Arial"/>
          <w:color w:val="000000"/>
          <w:sz w:val="20"/>
          <w:szCs w:val="20"/>
          <w:lang w:eastAsia="ru-RU"/>
        </w:rPr>
        <w:t xml:space="preserve"> данного инвестирования).</w:t>
      </w:r>
    </w:p>
    <w:p w14:paraId="4CE8D0BC"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 xml:space="preserve">Используемая ставка дисконта должна обязательно соответствовать выбранному виду денежного потока. Так как выбран денежный поток для собственного капитала, то ставка дисконта может быть рассчитана либо кумулятивным способом, либо по модели оценки капитальных активов. В силу </w:t>
      </w:r>
      <w:proofErr w:type="gramStart"/>
      <w:r w:rsidRPr="00A94293">
        <w:rPr>
          <w:rFonts w:ascii="Arial" w:eastAsia="Times New Roman" w:hAnsi="Arial" w:cs="Arial"/>
          <w:color w:val="000000"/>
          <w:sz w:val="20"/>
          <w:szCs w:val="20"/>
          <w:lang w:eastAsia="ru-RU"/>
        </w:rPr>
        <w:t>того ,</w:t>
      </w:r>
      <w:proofErr w:type="gramEnd"/>
      <w:r w:rsidRPr="00A94293">
        <w:rPr>
          <w:rFonts w:ascii="Arial" w:eastAsia="Times New Roman" w:hAnsi="Arial" w:cs="Arial"/>
          <w:color w:val="000000"/>
          <w:sz w:val="20"/>
          <w:szCs w:val="20"/>
          <w:lang w:eastAsia="ru-RU"/>
        </w:rPr>
        <w:t xml:space="preserve"> что объект оценки представляет собой имущественный комплекс, а не предприятие, акции которого котируются на свободном рынке, модель оценки капитальных активов не может быть использована для определения ставки дисконта и в данном отчете ставка дисконта рассчитана кумулятивным способом.</w:t>
      </w:r>
    </w:p>
    <w:p w14:paraId="1A9CACFE"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Этот метод подразумевает оценку определенных факторов, порождающих риск недополучения запланированных доходов. При построении ставки дисконта по данному методу за основу берется безрисковая норма доходности, а затем к ней добавляется норма доходности за риск инвестирования в данную компанию. Безрисковая ставка дохода определяется обычно исходя из ставки доходов по долгосрочным правительственным облигациям. Этот выбор обусловлен тем, что долгосрочные правительственные облигации характеризуются очень низким риском, связанным с неплатежеспособностью, и высокой степенью ликвидности. Кроме того, при определении ставки дохода по этому виду ценных бумаг учитывается долговременное воздействие инфляции. Долгосрочные (а не краткосрочные) облигации используются для того, чтобы обеспечить возможность сопоставления с инвестициями в собственный капитал предприятия, обычно осуществляемыми инвесторами на схожий период времени. Но по мнению оценщиков ставки по российским евробондам не отражают на настоящий момент рыночный уровень доходности при минимальном риске и определяются прежде всего политическими, а не экономическими факторами. Поэтому в качестве безрисковой использована средняя ставка по долгосрочным валютным депозитам пяти крупнейших российских банков, включая Сбербанк РФ. Она составляет приблизительно 8,5 % и формируется в основном под воздействием внутренних рыночных факторов.</w:t>
      </w:r>
    </w:p>
    <w:p w14:paraId="07A546F2"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Для определения дополнительной премии за риск инвестирования в определенную компанию учитываются следующие наиболее важные факторы:</w:t>
      </w:r>
    </w:p>
    <w:p w14:paraId="6A9F6E01"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Размер компании</w:t>
      </w:r>
    </w:p>
    <w:p w14:paraId="014C1022"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Данный фактор риска оценивается в пределах 0 – 3 %. Принимаем в размере 2 %, т.к. объект оценки можно позиционировать как средний бизнес областного масштаба.</w:t>
      </w:r>
    </w:p>
    <w:p w14:paraId="5E138DD0"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Финансовая структура</w:t>
      </w:r>
    </w:p>
    <w:p w14:paraId="2F345DE0"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 xml:space="preserve">Данный фактор риска оценивается в пределах 0 – 5 %. Данный показатель зависит от коэффициента концентрации собственного капитала и от показателя текущей </w:t>
      </w:r>
      <w:proofErr w:type="gramStart"/>
      <w:r w:rsidRPr="00A94293">
        <w:rPr>
          <w:rFonts w:ascii="Arial" w:eastAsia="Times New Roman" w:hAnsi="Arial" w:cs="Arial"/>
          <w:color w:val="000000"/>
          <w:sz w:val="20"/>
          <w:szCs w:val="20"/>
          <w:lang w:eastAsia="ru-RU"/>
        </w:rPr>
        <w:t>ликвидности</w:t>
      </w:r>
      <w:proofErr w:type="gramEnd"/>
      <w:r w:rsidRPr="00A94293">
        <w:rPr>
          <w:rFonts w:ascii="Arial" w:eastAsia="Times New Roman" w:hAnsi="Arial" w:cs="Arial"/>
          <w:color w:val="000000"/>
          <w:sz w:val="20"/>
          <w:szCs w:val="20"/>
          <w:lang w:eastAsia="ru-RU"/>
        </w:rPr>
        <w:t xml:space="preserve"> Принимаем в размере 4 %</w:t>
      </w:r>
    </w:p>
    <w:p w14:paraId="07021C3E"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Производственная и территориальная диверсификация</w:t>
      </w:r>
    </w:p>
    <w:p w14:paraId="77021D09"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lastRenderedPageBreak/>
        <w:t>Данный фактор риска оценивается в пределах 0 – 3 %. Производственная диверсификация отсутствует, т.к. единственное направление деятельности – реализация сжиженного газа. Территориальная диверсификация присутствует в пределах Брянской области, что недостаточно для устойчивого ведения бизнеса. Принимаем в размере 2,7 %</w:t>
      </w:r>
    </w:p>
    <w:p w14:paraId="2720CA0C"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Диверсификация клиентуры</w:t>
      </w:r>
    </w:p>
    <w:p w14:paraId="2FF3F7DE"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Данный фактор риска оценивается в пределах 0 – 4 %. Риск потери клиентуры характерен для всех компаний. Однако потеря клиента в различной степени отражается на объемах сбыта разных предприятий. Чем меньше зависимость доходов компании от одного или нескольких крупнейших клиентов, тем при прочих равных условиях она стабильнее. Потребителями сжиженного газа являются в основном розничные потребители и владельца транспорта, что позволяет оценить данный фактор риска как средний в размере 2 %.</w:t>
      </w:r>
    </w:p>
    <w:p w14:paraId="3D78BA65"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Рентабельность предприятия и прогнозируемость его доходов.</w:t>
      </w:r>
    </w:p>
    <w:p w14:paraId="5B9377C0"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Данный фактор риска оценивается в пределах 0 – 4 %. Рентабельность данного предприятия в первую очередь зависит от ценовой политики. В настоящее время баллонный газ продается населению ниже себестоимости и убытки покрываются за счет продажи через АГЗС. Новый собственник, естественно, пересмотрит ценовую политику и или приведет цены на баллонный газ для населения к уровню устраивающей его рентабельности, или откажется от работы в данном секторе рынка. Прогнозируемость и стабильность доходов в данном бизнесе достаточно высокая, поэтому оцениваем данный фактор в 1,8 %</w:t>
      </w:r>
    </w:p>
    <w:p w14:paraId="4365F065"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Качество управления</w:t>
      </w:r>
    </w:p>
    <w:p w14:paraId="38C41EE5"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Качество управления отражается на всех сферах существования компании, т. е. текущее состояние компании и перспективы ее развития во многом предопределены качеством управления. Зачастую невозможно выявить те отдельные показатели, на которые управление оказало особенно сильное влияние. Поэтому данный фактор риска определяем как среднюю величину факторов, кроме факторов, зависящих от величины компании и прогнозируемости доходов. Величина фактора качества управления составляет 2,6 %</w:t>
      </w:r>
    </w:p>
    <w:p w14:paraId="56E2069D"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b/>
          <w:bCs/>
          <w:i/>
          <w:iCs/>
          <w:color w:val="000000"/>
          <w:sz w:val="20"/>
          <w:szCs w:val="20"/>
          <w:lang w:eastAsia="ru-RU"/>
        </w:rPr>
        <w:t>Прочие собственные риски</w:t>
      </w:r>
    </w:p>
    <w:p w14:paraId="3824A38E"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Данный фактор риска оценивается в пределах 0 – 5 % и учитывает вероятность влияния на получение прогнозируемых доходов других специфических рисков, присущих оцениваемой компании. Принимая во внимание специфику ведения бизнеса в России, необходимо предусмотреть в ставке дисконта величину данного фактора на уровне середины диапазона. Принимаем данный показатель 2,5 %.</w:t>
      </w:r>
    </w:p>
    <w:p w14:paraId="70A3555A"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Таким образом ставка дисконта, определенная методом кумулятивного построения, составила 26,1 %.</w:t>
      </w:r>
    </w:p>
    <w:p w14:paraId="450E4492" w14:textId="77777777" w:rsidR="00A94293" w:rsidRPr="00A94293" w:rsidRDefault="00A94293" w:rsidP="00A94293">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A94293">
        <w:rPr>
          <w:rFonts w:ascii="Arial" w:eastAsia="Times New Roman" w:hAnsi="Arial" w:cs="Arial"/>
          <w:color w:val="000000"/>
          <w:sz w:val="20"/>
          <w:szCs w:val="20"/>
          <w:lang w:eastAsia="ru-RU"/>
        </w:rPr>
        <w:t>Согласно произведенной оценке, величина ставки дисконта денежного потока для собственного капитала составляет округленно 26,0&amp; %.</w:t>
      </w:r>
    </w:p>
    <w:p w14:paraId="0CC57717"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93"/>
    <w:rsid w:val="006C0B77"/>
    <w:rsid w:val="008242FF"/>
    <w:rsid w:val="00870751"/>
    <w:rsid w:val="00922C48"/>
    <w:rsid w:val="00A94293"/>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176A"/>
  <w15:chartTrackingRefBased/>
  <w15:docId w15:val="{61D3CE58-58D7-4A71-B999-890BB9D4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A94293"/>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4293"/>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A94293"/>
    <w:pPr>
      <w:spacing w:before="100" w:beforeAutospacing="1" w:after="100" w:afterAutospacing="1"/>
    </w:pPr>
    <w:rPr>
      <w:rFonts w:eastAsia="Times New Roman" w:cs="Times New Roman"/>
      <w:sz w:val="24"/>
      <w:szCs w:val="24"/>
      <w:lang w:eastAsia="ru-RU"/>
    </w:rPr>
  </w:style>
  <w:style w:type="character" w:styleId="a4">
    <w:name w:val="Emphasis"/>
    <w:basedOn w:val="a0"/>
    <w:uiPriority w:val="20"/>
    <w:qFormat/>
    <w:rsid w:val="00A942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88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2025-11-25T12:39:00Z</dcterms:created>
  <dcterms:modified xsi:type="dcterms:W3CDTF">2025-11-25T12:40:00Z</dcterms:modified>
</cp:coreProperties>
</file>