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4C92E" w14:textId="77777777" w:rsidR="00BC31F5" w:rsidRPr="00BC31F5" w:rsidRDefault="00BC31F5" w:rsidP="00BC31F5">
      <w:pPr>
        <w:shd w:val="clear" w:color="auto" w:fill="FFFFFF"/>
        <w:spacing w:line="210" w:lineRule="atLeast"/>
        <w:textAlignment w:val="baseline"/>
        <w:rPr>
          <w:rFonts w:ascii="Arial" w:eastAsia="Times New Roman" w:hAnsi="Arial" w:cs="Arial"/>
          <w:caps/>
          <w:color w:val="222222"/>
          <w:spacing w:val="8"/>
          <w:sz w:val="17"/>
          <w:szCs w:val="17"/>
          <w:lang w:eastAsia="ru-RU"/>
        </w:rPr>
      </w:pPr>
      <w:hyperlink r:id="rId5" w:history="1">
        <w:r w:rsidRPr="00BC31F5">
          <w:rPr>
            <w:rFonts w:ascii="Arial" w:eastAsia="Times New Roman" w:hAnsi="Arial" w:cs="Arial"/>
            <w:caps/>
            <w:color w:val="222222"/>
            <w:spacing w:val="8"/>
            <w:sz w:val="17"/>
            <w:szCs w:val="17"/>
            <w:bdr w:val="none" w:sz="0" w:space="0" w:color="auto" w:frame="1"/>
            <w:lang w:eastAsia="ru-RU"/>
          </w:rPr>
          <w:t>BusinesStat,</w:t>
        </w:r>
      </w:hyperlink>
      <w:r w:rsidRPr="00BC31F5">
        <w:rPr>
          <w:rFonts w:ascii="Arial" w:eastAsia="Times New Roman" w:hAnsi="Arial" w:cs="Arial"/>
          <w:caps/>
          <w:color w:val="222222"/>
          <w:spacing w:val="8"/>
          <w:sz w:val="17"/>
          <w:szCs w:val="17"/>
          <w:lang w:eastAsia="ru-RU"/>
        </w:rPr>
        <w:t> </w:t>
      </w:r>
      <w:r w:rsidRPr="00BC31F5">
        <w:rPr>
          <w:rFonts w:ascii="Arial" w:eastAsia="Times New Roman" w:hAnsi="Arial" w:cs="Arial"/>
          <w:caps/>
          <w:color w:val="222222"/>
          <w:spacing w:val="8"/>
          <w:sz w:val="17"/>
          <w:szCs w:val="17"/>
          <w:bdr w:val="none" w:sz="0" w:space="0" w:color="auto" w:frame="1"/>
          <w:lang w:eastAsia="ru-RU"/>
        </w:rPr>
        <w:t>15 октября 2025</w:t>
      </w:r>
    </w:p>
    <w:p w14:paraId="0726D264" w14:textId="77777777" w:rsidR="00BC31F5" w:rsidRPr="00BC31F5" w:rsidRDefault="00BC31F5" w:rsidP="00BC31F5">
      <w:pPr>
        <w:shd w:val="clear" w:color="auto" w:fill="FFFFFF"/>
        <w:spacing w:after="0" w:line="690" w:lineRule="atLeast"/>
        <w:textAlignment w:val="baseline"/>
        <w:outlineLvl w:val="0"/>
        <w:rPr>
          <w:rFonts w:ascii="Arial" w:eastAsia="Times New Roman" w:hAnsi="Arial" w:cs="Arial"/>
          <w:b/>
          <w:bCs/>
          <w:color w:val="222222"/>
          <w:spacing w:val="-15"/>
          <w:kern w:val="36"/>
          <w:sz w:val="48"/>
          <w:szCs w:val="48"/>
          <w:lang w:eastAsia="ru-RU"/>
        </w:rPr>
      </w:pPr>
      <w:r w:rsidRPr="00BC31F5">
        <w:rPr>
          <w:rFonts w:ascii="Arial" w:eastAsia="Times New Roman" w:hAnsi="Arial" w:cs="Arial"/>
          <w:b/>
          <w:bCs/>
          <w:color w:val="222222"/>
          <w:spacing w:val="-15"/>
          <w:kern w:val="36"/>
          <w:sz w:val="48"/>
          <w:szCs w:val="48"/>
          <w:lang w:eastAsia="ru-RU"/>
        </w:rPr>
        <w:t>В 2024 г численность АЗС в России выросла на 2% и составила 31,3 тыс.</w:t>
      </w:r>
    </w:p>
    <w:p w14:paraId="7761F049" w14:textId="77777777" w:rsidR="00BC31F5" w:rsidRPr="00BC31F5" w:rsidRDefault="00BC31F5" w:rsidP="00BC31F5">
      <w:pPr>
        <w:shd w:val="clear" w:color="auto" w:fill="FFFFFF"/>
        <w:spacing w:line="420" w:lineRule="atLeast"/>
        <w:textAlignment w:val="baseline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BC31F5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При этом высокая конкуренция в отрасли способствовали закрытию отдельных АЗС из числа независимых операторов.</w:t>
      </w:r>
    </w:p>
    <w:p w14:paraId="034C15F0" w14:textId="280777C4" w:rsidR="00BC31F5" w:rsidRPr="00BC31F5" w:rsidRDefault="00BC31F5" w:rsidP="00BC31F5">
      <w:pPr>
        <w:shd w:val="clear" w:color="auto" w:fill="FFFFFF"/>
        <w:spacing w:line="390" w:lineRule="atLeast"/>
        <w:textAlignment w:val="top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BC31F5">
        <w:rPr>
          <w:rFonts w:ascii="Arial" w:eastAsia="Times New Roman" w:hAnsi="Arial" w:cs="Arial"/>
          <w:noProof/>
          <w:color w:val="333333"/>
          <w:sz w:val="27"/>
          <w:szCs w:val="27"/>
          <w:lang w:eastAsia="ru-RU"/>
        </w:rPr>
        <w:drawing>
          <wp:inline distT="0" distB="0" distL="0" distR="0" wp14:anchorId="372917DA" wp14:editId="6D491715">
            <wp:extent cx="5554980" cy="40767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3D94" w14:textId="77777777" w:rsidR="00BC31F5" w:rsidRPr="00BC31F5" w:rsidRDefault="00BC31F5" w:rsidP="00BC31F5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Arial"/>
          <w:color w:val="333333"/>
          <w:sz w:val="27"/>
          <w:szCs w:val="27"/>
          <w:lang w:eastAsia="ru-RU"/>
        </w:rPr>
      </w:pPr>
      <w:r w:rsidRPr="00BC31F5">
        <w:rPr>
          <w:rFonts w:ascii="inherit" w:eastAsia="Times New Roman" w:hAnsi="inherit" w:cs="Arial"/>
          <w:color w:val="333333"/>
          <w:sz w:val="27"/>
          <w:szCs w:val="27"/>
          <w:lang w:eastAsia="ru-RU"/>
        </w:rPr>
        <w:t>По данным </w:t>
      </w:r>
      <w:hyperlink r:id="rId7" w:history="1">
        <w:r w:rsidRPr="00BC31F5">
          <w:rPr>
            <w:rFonts w:ascii="Arial" w:eastAsia="Times New Roman" w:hAnsi="Arial" w:cs="Arial"/>
            <w:color w:val="16B67F"/>
            <w:sz w:val="27"/>
            <w:szCs w:val="27"/>
            <w:bdr w:val="none" w:sz="0" w:space="0" w:color="auto" w:frame="1"/>
            <w:lang w:eastAsia="ru-RU"/>
          </w:rPr>
          <w:t>«Анализа рынка автозаправочных станций (АЗС) в России»</w:t>
        </w:r>
      </w:hyperlink>
      <w:r w:rsidRPr="00BC31F5">
        <w:rPr>
          <w:rFonts w:ascii="inherit" w:eastAsia="Times New Roman" w:hAnsi="inherit" w:cs="Arial"/>
          <w:color w:val="333333"/>
          <w:sz w:val="27"/>
          <w:szCs w:val="27"/>
          <w:lang w:eastAsia="ru-RU"/>
        </w:rPr>
        <w:t>, подготовленного BusinesStat в 2025 г, в 2024 г их численность в стране выросла на 2% и составила 31,3 тыс. Услуги по заправке топливом транспортных средств предоставляются как вертикально-интегрированными нефтяными компаниями, так и независимыми операторами.</w:t>
      </w:r>
    </w:p>
    <w:p w14:paraId="203122BF" w14:textId="77777777" w:rsidR="00BC31F5" w:rsidRPr="00BC31F5" w:rsidRDefault="00BC31F5" w:rsidP="00BC31F5">
      <w:pPr>
        <w:shd w:val="clear" w:color="auto" w:fill="FFFFFF"/>
        <w:spacing w:after="270" w:line="390" w:lineRule="atLeast"/>
        <w:textAlignment w:val="baseline"/>
        <w:rPr>
          <w:rFonts w:ascii="inherit" w:eastAsia="Times New Roman" w:hAnsi="inherit" w:cs="Arial"/>
          <w:color w:val="333333"/>
          <w:sz w:val="27"/>
          <w:szCs w:val="27"/>
          <w:lang w:eastAsia="ru-RU"/>
        </w:rPr>
      </w:pPr>
      <w:r w:rsidRPr="00BC31F5">
        <w:rPr>
          <w:rFonts w:ascii="inherit" w:eastAsia="Times New Roman" w:hAnsi="inherit" w:cs="Arial"/>
          <w:color w:val="333333"/>
          <w:sz w:val="27"/>
          <w:szCs w:val="27"/>
          <w:lang w:eastAsia="ru-RU"/>
        </w:rPr>
        <w:t>Весь рынок услуг АЗС в стране можно условно разделить на два сегмента: жидкотопливные заправочные станции, доля которых в 2024 г составила 55%, и заправочные станции, в число которых входят многотопливные, газо- и электрозаправки (около 45% всех АЗС).</w:t>
      </w:r>
    </w:p>
    <w:p w14:paraId="180ECAE9" w14:textId="77777777" w:rsidR="00BC31F5" w:rsidRPr="00BC31F5" w:rsidRDefault="00BC31F5" w:rsidP="00BC31F5">
      <w:pPr>
        <w:shd w:val="clear" w:color="auto" w:fill="FFFFFF"/>
        <w:spacing w:after="270" w:line="390" w:lineRule="atLeast"/>
        <w:textAlignment w:val="baseline"/>
        <w:rPr>
          <w:rFonts w:ascii="inherit" w:eastAsia="Times New Roman" w:hAnsi="inherit" w:cs="Arial"/>
          <w:color w:val="333333"/>
          <w:sz w:val="27"/>
          <w:szCs w:val="27"/>
          <w:lang w:eastAsia="ru-RU"/>
        </w:rPr>
      </w:pPr>
      <w:r w:rsidRPr="00BC31F5">
        <w:rPr>
          <w:rFonts w:ascii="inherit" w:eastAsia="Times New Roman" w:hAnsi="inherit" w:cs="Arial"/>
          <w:color w:val="333333"/>
          <w:sz w:val="27"/>
          <w:szCs w:val="27"/>
          <w:lang w:eastAsia="ru-RU"/>
        </w:rPr>
        <w:lastRenderedPageBreak/>
        <w:t>В 2024 г сокращение производства бензина и дизельного топлива на российских нефтеперерабатывающих заводах привело к увеличению оптовых цен для внутреннего рынка и снижению объемов реализации топлива через АЗС. При этом действующее ограничение на увеличение розничных цен только в пределах инфляции, а также высокая конкуренция в отрасли способствовали закрытию отдельных АЗС из числа независимых операторов.</w:t>
      </w:r>
    </w:p>
    <w:p w14:paraId="0A8B181A" w14:textId="77777777" w:rsidR="00BC31F5" w:rsidRPr="00BC31F5" w:rsidRDefault="00BC31F5" w:rsidP="00BC31F5">
      <w:pPr>
        <w:shd w:val="clear" w:color="auto" w:fill="FFFFFF"/>
        <w:spacing w:after="270" w:line="390" w:lineRule="atLeast"/>
        <w:textAlignment w:val="baseline"/>
        <w:rPr>
          <w:rFonts w:ascii="inherit" w:eastAsia="Times New Roman" w:hAnsi="inherit" w:cs="Arial"/>
          <w:color w:val="333333"/>
          <w:sz w:val="27"/>
          <w:szCs w:val="27"/>
          <w:lang w:eastAsia="ru-RU"/>
        </w:rPr>
      </w:pPr>
      <w:r w:rsidRPr="00BC31F5">
        <w:rPr>
          <w:rFonts w:ascii="inherit" w:eastAsia="Times New Roman" w:hAnsi="inherit" w:cs="Arial"/>
          <w:color w:val="333333"/>
          <w:sz w:val="27"/>
          <w:szCs w:val="27"/>
          <w:lang w:eastAsia="ru-RU"/>
        </w:rPr>
        <w:t>Во второй половине 2025 г высокий сезонный спрос и перебои с поставками жидкого топлива на АЗС способствовали возникновению серьезных проблем на топливном рынке России. Ажиотаж, ограничение отпускаемого объема топлива в одни руки, резкий рост розничных цен, массовая приостановка работы независимых АЗС потребовали экстренного вмешательства государства.</w:t>
      </w:r>
    </w:p>
    <w:p w14:paraId="3478CD2F" w14:textId="77777777" w:rsidR="000E672E" w:rsidRDefault="000E672E" w:rsidP="000E672E">
      <w:pPr>
        <w:jc w:val="center"/>
        <w:rPr>
          <w:rFonts w:ascii="Arial" w:hAnsi="Arial" w:cs="Arial"/>
          <w:b/>
          <w:bCs/>
          <w:caps/>
          <w:color w:val="231F20"/>
          <w:spacing w:val="38"/>
          <w:sz w:val="24"/>
        </w:rPr>
      </w:pPr>
      <w:r>
        <w:rPr>
          <w:rFonts w:ascii="Arial" w:hAnsi="Arial" w:cs="Arial"/>
          <w:b/>
          <w:bCs/>
          <w:caps/>
          <w:color w:val="231F20"/>
          <w:spacing w:val="38"/>
        </w:rPr>
        <w:t>7 августа 2024 года</w:t>
      </w:r>
    </w:p>
    <w:p w14:paraId="19644DBB" w14:textId="77777777" w:rsidR="000E672E" w:rsidRDefault="000E672E" w:rsidP="000E672E">
      <w:pPr>
        <w:jc w:val="center"/>
        <w:rPr>
          <w:rFonts w:ascii="Arial" w:hAnsi="Arial" w:cs="Arial"/>
          <w:b/>
          <w:bCs/>
          <w:color w:val="003C40"/>
          <w:sz w:val="53"/>
          <w:szCs w:val="53"/>
        </w:rPr>
      </w:pPr>
      <w:r>
        <w:rPr>
          <w:rFonts w:ascii="Arial" w:hAnsi="Arial" w:cs="Arial"/>
          <w:b/>
          <w:bCs/>
          <w:color w:val="003C40"/>
          <w:sz w:val="53"/>
          <w:szCs w:val="53"/>
        </w:rPr>
        <w:t>Анализ загруженности АЗС</w:t>
      </w:r>
    </w:p>
    <w:p w14:paraId="3806C79D" w14:textId="68DD35EB" w:rsidR="000E672E" w:rsidRDefault="000E672E" w:rsidP="000E672E">
      <w:pPr>
        <w:rPr>
          <w:rFonts w:ascii="Arial" w:hAnsi="Arial" w:cs="Arial"/>
          <w:color w:val="231F20"/>
        </w:rPr>
      </w:pPr>
      <w:r>
        <w:rPr>
          <w:rFonts w:ascii="Arial" w:hAnsi="Arial" w:cs="Arial"/>
          <w:color w:val="231F20"/>
        </w:rPr>
        <w:t>Специалисты ППР изучили поведение 70 000 владельцев топливных карт на 18 000 АЗС по всей России. Выяснилось, что самые загруженные часы на заправках с 8 до 10 утра — перед началом рабочего дня. Далее количество машин уменьшается, однако до 17 часов на заправках все равно наблюдаются небольшие очереди. Важно, что утром машин может быть в 2–3 раза больше, чем вечером: многие стремятся выехать на работу с полным баком.</w:t>
      </w:r>
      <w:r>
        <w:rPr>
          <w:rFonts w:ascii="Arial" w:hAnsi="Arial" w:cs="Arial"/>
          <w:color w:val="231F20"/>
        </w:rPr>
        <w:br/>
        <w:t>Тем, кто не хочет стоять в очередях, специалисты ППР рекомендуют заправляться в период с 19 часов вечера до 7 утра. Еще больше повезет водителям, которые работают в ночные смены: с 23:00 и до 6:00 машин на АЗС практически нет.</w:t>
      </w:r>
      <w:r>
        <w:rPr>
          <w:rFonts w:ascii="Arial" w:hAnsi="Arial" w:cs="Arial"/>
          <w:color w:val="231F20"/>
        </w:rPr>
        <w:br/>
      </w:r>
      <w:r>
        <w:rPr>
          <w:rFonts w:ascii="Arial" w:hAnsi="Arial" w:cs="Arial"/>
          <w:color w:val="231F20"/>
        </w:rPr>
        <w:br/>
        <w:t>В разрезе по месяцам чуть больше транзакций на АЗС водители осуществляют в октябре и декабре. А меньше всего в январе и феврале, специалисты предполагают, что снижение активности в начале года связано с праздниками, которые чаще всего люди проводят дома. Однако существенной разницы в зависимости от времени года аналитики не отмечают: топливо нужно в любой сезон.</w:t>
      </w:r>
      <w:r>
        <w:rPr>
          <w:rFonts w:ascii="Arial" w:hAnsi="Arial" w:cs="Arial"/>
          <w:color w:val="231F20"/>
        </w:rPr>
        <w:br/>
      </w:r>
      <w:r>
        <w:rPr>
          <w:rFonts w:ascii="Arial" w:hAnsi="Arial" w:cs="Arial"/>
          <w:color w:val="231F20"/>
        </w:rPr>
        <w:br/>
        <w:t>Источник: </w:t>
      </w:r>
      <w:hyperlink r:id="rId8" w:history="1">
        <w:r>
          <w:rPr>
            <w:rStyle w:val="a3"/>
            <w:rFonts w:ascii="Arial" w:hAnsi="Arial" w:cs="Arial"/>
            <w:color w:val="003C40"/>
            <w:u w:val="none"/>
            <w:bdr w:val="none" w:sz="0" w:space="0" w:color="auto" w:frame="1"/>
          </w:rPr>
          <w:t>https://companies.rbc.ru/news/jmKA3lUTEx/analitiki-ppr-uznali-v-kakoe-vremya-na-zapravkah-net-ocheredej/</w:t>
        </w:r>
      </w:hyperlink>
      <w:r>
        <w:rPr>
          <w:rFonts w:ascii="Arial" w:hAnsi="Arial" w:cs="Arial"/>
          <w:color w:val="231F20"/>
        </w:rPr>
        <w:br/>
        <w:t>Источник фото: ППР</w:t>
      </w:r>
    </w:p>
    <w:p w14:paraId="096A7308" w14:textId="53CBBAA5" w:rsidR="00FD01ED" w:rsidRDefault="00FD01ED" w:rsidP="000E672E">
      <w:pPr>
        <w:rPr>
          <w:rFonts w:ascii="Arial" w:hAnsi="Arial" w:cs="Arial"/>
          <w:color w:val="231F20"/>
        </w:rPr>
      </w:pPr>
    </w:p>
    <w:p w14:paraId="4F46B6EE" w14:textId="4DD317D1" w:rsidR="00FD01ED" w:rsidRDefault="00FD01ED" w:rsidP="00FD01ED">
      <w:pPr>
        <w:rPr>
          <w:rFonts w:ascii="Noto Sans" w:hAnsi="Noto Sans" w:cs="Noto Sans"/>
          <w:color w:val="333333"/>
          <w:sz w:val="2"/>
          <w:szCs w:val="2"/>
        </w:rPr>
      </w:pPr>
      <w:hyperlink r:id="rId9" w:history="1">
        <w:r>
          <w:rPr>
            <w:color w:val="004465"/>
            <w:u w:val="single"/>
            <w:bdr w:val="none" w:sz="0" w:space="0" w:color="auto" w:frame="1"/>
          </w:rPr>
          <w:br/>
        </w:r>
        <w:r>
          <w:rPr>
            <w:rStyle w:val="vh"/>
            <w:color w:val="004465"/>
            <w:u w:val="single"/>
            <w:bdr w:val="none" w:sz="0" w:space="0" w:color="auto" w:frame="1"/>
          </w:rPr>
          <w:t>Коммерсантъ</w:t>
        </w:r>
      </w:hyperlink>
    </w:p>
    <w:p w14:paraId="5CE2E2C4" w14:textId="77777777" w:rsidR="00FD01ED" w:rsidRDefault="00FD01ED" w:rsidP="00FD01ED">
      <w:pPr>
        <w:rPr>
          <w:rFonts w:ascii="inherit" w:hAnsi="inherit" w:cs="Noto Sans"/>
          <w:color w:val="FFFFFF"/>
          <w:sz w:val="15"/>
          <w:szCs w:val="15"/>
        </w:rPr>
      </w:pPr>
      <w:r>
        <w:rPr>
          <w:rFonts w:ascii="inherit" w:hAnsi="inherit" w:cs="Noto Sans"/>
          <w:color w:val="FFFFFF"/>
          <w:sz w:val="15"/>
          <w:szCs w:val="15"/>
        </w:rPr>
        <w:t>ОК</w:t>
      </w:r>
    </w:p>
    <w:p w14:paraId="07225059" w14:textId="77777777" w:rsidR="00FD01ED" w:rsidRDefault="00FD01ED" w:rsidP="00FD01ED">
      <w:pPr>
        <w:pStyle w:val="crumbsitem"/>
        <w:numPr>
          <w:ilvl w:val="0"/>
          <w:numId w:val="8"/>
        </w:numPr>
        <w:rPr>
          <w:rFonts w:ascii="Noto Sans" w:hAnsi="Noto Sans" w:cs="Noto Sans"/>
          <w:color w:val="666666"/>
          <w:sz w:val="15"/>
          <w:szCs w:val="15"/>
        </w:rPr>
      </w:pPr>
      <w:hyperlink r:id="rId10" w:history="1">
        <w:r>
          <w:rPr>
            <w:rStyle w:val="a3"/>
            <w:rFonts w:ascii="Noto Sans" w:hAnsi="Noto Sans" w:cs="Noto Sans"/>
            <w:color w:val="004465"/>
            <w:sz w:val="15"/>
            <w:szCs w:val="15"/>
          </w:rPr>
          <w:t>Бизнес</w:t>
        </w:r>
      </w:hyperlink>
    </w:p>
    <w:p w14:paraId="4A712353" w14:textId="77777777" w:rsidR="00FD01ED" w:rsidRDefault="00FD01ED" w:rsidP="00FD01ED">
      <w:pPr>
        <w:rPr>
          <w:rFonts w:ascii="Noto Sans" w:hAnsi="Noto Sans" w:cs="Noto Sans"/>
          <w:color w:val="000000"/>
          <w:sz w:val="15"/>
          <w:szCs w:val="15"/>
        </w:rPr>
      </w:pPr>
      <w:r>
        <w:rPr>
          <w:rFonts w:ascii="Noto Sans" w:hAnsi="Noto Sans" w:cs="Noto Sans"/>
          <w:color w:val="000000"/>
          <w:sz w:val="15"/>
          <w:szCs w:val="15"/>
        </w:rPr>
        <w:t>10.11.2025, 01:34</w:t>
      </w:r>
    </w:p>
    <w:p w14:paraId="7164FB72" w14:textId="77777777" w:rsidR="00FD01ED" w:rsidRDefault="00FD01ED" w:rsidP="00FD01ED">
      <w:pPr>
        <w:pStyle w:val="1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Рентабельность выдавливают по капле</w:t>
      </w:r>
    </w:p>
    <w:p w14:paraId="4A0F2B84" w14:textId="77777777" w:rsidR="00FD01ED" w:rsidRDefault="00FD01ED" w:rsidP="00FD01ED">
      <w:pPr>
        <w:pStyle w:val="2"/>
        <w:rPr>
          <w:rFonts w:ascii="inherit" w:hAnsi="inherit" w:cs="Noto Sans"/>
          <w:color w:val="333333"/>
        </w:rPr>
      </w:pPr>
      <w:r>
        <w:rPr>
          <w:rFonts w:ascii="inherit" w:hAnsi="inherit" w:cs="Noto Sans"/>
          <w:color w:val="333333"/>
        </w:rPr>
        <w:t>Маржа продаж бензина на АЗС начала восстанавливаться</w:t>
      </w:r>
    </w:p>
    <w:p w14:paraId="43053E65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Доходность продаж бензина на АЗС демонстрирует первые признаки восстановления после провальных месяцев. Но чистая маржа большинства АЗС остается отрицательной. Ключевым фактором стабилизации стало сочетание роста розничных цен и снижения биржевых котировок, но риски нового витка увеличения стоимости нефтепродуктов в оптовом сегменте сохраняются.</w:t>
      </w:r>
    </w:p>
    <w:p w14:paraId="4CFFA7EF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После двух месяцев отрицательных значений средняя рентабельность продаж бензина на АЗС начала восстанавливаться, следует из данных аналитиков «ОМТ-Консалт». По их оценкам, доходность реализации АИ-95 на 1 ноября в среднем выросла до 1,2 руб. за литр против минус 0,2 руб. в октябре и минус 0,7 руб. в сентябре. Рентабельность от продаж АИ-92, которая в октябре была минус 0,4 руб. за литр, увеличилась до 0,4 руб. за литр. Показатель не учитывает операционные расходы АЗС. По данным «Петромаркета», чистая маржа торговли АИ-92 по РФ на 31 октября составляла минус 3,7 руб. за литр.</w:t>
      </w:r>
    </w:p>
    <w:p w14:paraId="06DA4722" w14:textId="77777777" w:rsidR="00FD01ED" w:rsidRDefault="00FD01ED" w:rsidP="00FD01ED">
      <w:pPr>
        <w:rPr>
          <w:rFonts w:ascii="Noto Sans" w:hAnsi="Noto Sans" w:cs="Noto Sans"/>
          <w:color w:val="000000"/>
          <w:sz w:val="15"/>
          <w:szCs w:val="15"/>
        </w:rPr>
      </w:pPr>
      <w:r>
        <w:rPr>
          <w:rStyle w:val="vh"/>
          <w:rFonts w:ascii="Noto Sans" w:hAnsi="Noto Sans" w:cs="Noto Sans"/>
          <w:color w:val="000000"/>
          <w:sz w:val="15"/>
          <w:szCs w:val="15"/>
          <w:bdr w:val="none" w:sz="0" w:space="0" w:color="auto" w:frame="1"/>
        </w:rPr>
        <w:t>Развернуть на весь экран</w:t>
      </w:r>
    </w:p>
    <w:p w14:paraId="7EE78584" w14:textId="1D85971A" w:rsidR="00FD01ED" w:rsidRDefault="00FD01ED" w:rsidP="00FD01ED">
      <w:pPr>
        <w:shd w:val="clear" w:color="auto" w:fill="EEEEEE"/>
        <w:jc w:val="center"/>
        <w:rPr>
          <w:rFonts w:ascii="Noto Sans" w:hAnsi="Noto Sans" w:cs="Noto Sans"/>
          <w:color w:val="000000"/>
          <w:sz w:val="15"/>
          <w:szCs w:val="15"/>
        </w:rPr>
      </w:pPr>
      <w:r>
        <w:rPr>
          <w:rFonts w:ascii="Noto Sans" w:hAnsi="Noto Sans" w:cs="Noto Sans"/>
          <w:noProof/>
          <w:color w:val="000000"/>
          <w:sz w:val="15"/>
          <w:szCs w:val="15"/>
        </w:rPr>
        <w:drawing>
          <wp:inline distT="0" distB="0" distL="0" distR="0" wp14:anchorId="050AF20F" wp14:editId="2CCF087E">
            <wp:extent cx="5939790" cy="264350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1291" w14:textId="51B0E8B5" w:rsidR="00FD01ED" w:rsidRDefault="00FD01ED" w:rsidP="00FD01ED">
      <w:pPr>
        <w:shd w:val="clear" w:color="auto" w:fill="EEEEEE"/>
        <w:jc w:val="center"/>
        <w:rPr>
          <w:rFonts w:ascii="Noto Sans" w:hAnsi="Noto Sans" w:cs="Noto Sans"/>
          <w:color w:val="000000"/>
          <w:sz w:val="15"/>
          <w:szCs w:val="15"/>
        </w:rPr>
      </w:pPr>
      <w:r>
        <w:rPr>
          <w:rFonts w:ascii="Noto Sans" w:hAnsi="Noto Sans" w:cs="Noto Sans"/>
          <w:noProof/>
          <w:color w:val="000000"/>
          <w:sz w:val="15"/>
          <w:szCs w:val="15"/>
        </w:rPr>
        <w:drawing>
          <wp:inline distT="0" distB="0" distL="0" distR="0" wp14:anchorId="0FF4E0F9" wp14:editId="499419DC">
            <wp:extent cx="152400" cy="83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6F0A9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Согласно «ОМТ-Консалт», пиковых значений рентабельность от продажи бензина на АЗС в 2025 году достигала в апреле: 12,7 руб. за литр АИ-95 и 11,6 руб. за литр АИ-92. Но с начала лета показатель начал снижаться в условиях резкого роста биржевых цен из-за аварий на НПЗ и сокращения предложения (</w:t>
      </w:r>
      <w:hyperlink r:id="rId13" w:history="1">
        <w:r>
          <w:rPr>
            <w:rStyle w:val="a3"/>
            <w:rFonts w:ascii="Noto Sans" w:hAnsi="Noto Sans" w:cs="Noto Sans"/>
            <w:color w:val="004465"/>
            <w:sz w:val="15"/>
            <w:szCs w:val="15"/>
          </w:rPr>
          <w:t>см. “Ъ” от 24 сентября</w:t>
        </w:r>
      </w:hyperlink>
      <w:r>
        <w:rPr>
          <w:rFonts w:ascii="Noto Sans" w:hAnsi="Noto Sans" w:cs="Noto Sans"/>
          <w:color w:val="111111"/>
          <w:sz w:val="15"/>
          <w:szCs w:val="15"/>
        </w:rPr>
        <w:t>).</w:t>
      </w:r>
    </w:p>
    <w:p w14:paraId="056B4EC7" w14:textId="77777777" w:rsidR="00FD01ED" w:rsidRDefault="00FD01ED" w:rsidP="00FD01ED">
      <w:pPr>
        <w:pStyle w:val="incutnotetext"/>
        <w:rPr>
          <w:rFonts w:ascii="inherit" w:hAnsi="inherit" w:cs="Noto Sans"/>
          <w:i/>
          <w:iCs/>
          <w:color w:val="333333"/>
          <w:sz w:val="15"/>
          <w:szCs w:val="15"/>
        </w:rPr>
      </w:pPr>
      <w:r>
        <w:rPr>
          <w:rFonts w:ascii="inherit" w:hAnsi="inherit" w:cs="Noto Sans"/>
          <w:b/>
          <w:bCs/>
          <w:i/>
          <w:iCs/>
          <w:color w:val="333333"/>
          <w:sz w:val="15"/>
          <w:szCs w:val="15"/>
        </w:rPr>
        <w:t>17 процентов</w:t>
      </w:r>
    </w:p>
    <w:p w14:paraId="00B9D16F" w14:textId="77777777" w:rsidR="00FD01ED" w:rsidRDefault="00FD01ED" w:rsidP="00FD01ED">
      <w:pPr>
        <w:pStyle w:val="incutnotetext"/>
        <w:spacing w:before="0" w:beforeAutospacing="0" w:after="0" w:afterAutospacing="0"/>
        <w:rPr>
          <w:rFonts w:ascii="inherit" w:hAnsi="inherit" w:cs="Noto Sans"/>
          <w:i/>
          <w:iCs/>
          <w:color w:val="333333"/>
          <w:sz w:val="15"/>
          <w:szCs w:val="15"/>
        </w:rPr>
      </w:pPr>
      <w:r>
        <w:rPr>
          <w:rFonts w:ascii="inherit" w:hAnsi="inherit" w:cs="Noto Sans"/>
          <w:i/>
          <w:iCs/>
          <w:color w:val="333333"/>
          <w:sz w:val="15"/>
          <w:szCs w:val="15"/>
        </w:rPr>
        <w:t>составил средний рост цен на АИ-92 на АЗС в РФ за год по 1 ноября 2025 года, по данным «ОМТ-Консалт».</w:t>
      </w:r>
    </w:p>
    <w:p w14:paraId="73A43815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 xml:space="preserve">Самая высокая доходность продаж АИ-95 и АИ-92 в ноябре, по данным «ОМТ-Консалт», зафиксирована в Сибирском федеральном округе — 3,47 руб. за литр и 2,87 руб. за литр соответственно. Наиболее низкая рентабельность продаж АИ-95 </w:t>
      </w:r>
      <w:r>
        <w:rPr>
          <w:rFonts w:ascii="Noto Sans" w:hAnsi="Noto Sans" w:cs="Noto Sans"/>
          <w:color w:val="111111"/>
          <w:sz w:val="15"/>
          <w:szCs w:val="15"/>
        </w:rPr>
        <w:lastRenderedPageBreak/>
        <w:t>отмечается в Северо-Западном федеральном округе — минус 0,38 руб. за литр, АИ-92 — в Приволжском федеральном округе — минус 0,56 руб. за литр.</w:t>
      </w:r>
    </w:p>
    <w:p w14:paraId="7E0876A3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По оценкам аналитиков «Эйлер», восстановление доходности продаж бензина на АЗС в октябре связано с ростом розничных цен на АИ-92 и АИ-95 на 1,5–3% к предыдущему месяцу при снижении биржевых котировок. Как отмечается в обзоре аналитиков, в октябре, после вступления в силу моратория на обнуление топливного демпфера, выплаты по бензину составили около 9,3 тыс. руб. за тонну. В сочетании со снижением стоимости сырья это повысило рентабельность внутренних продаж топлива к сентябрю на 76%, до 27,1 тыс. руб. на тонну, что стало максимальным значением с начала 2025 года, подсчитали в «Эйлер».</w:t>
      </w:r>
    </w:p>
    <w:p w14:paraId="25BC3E15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Управляющий партнер трейдера «Пролеум» Максим Дьяченко говорит, что доходность продаж топлива на АЗС сегодня может значительно различаться в зависимости от региона и внутри каждого из них между сетями, а иногда и между точками одного оператора. Из-за высокой волатильности рынка понять реальную рентабельность можно будет лишь по итогам года, считает он. По словам господина Дьяченко, сейчас на АЗС поступает топливо, закупленное в конце августа — начале сентября по самым пиковым оптовым ценам, когда АИ-92 на бирже стоил более 70 тыс. руб. за тонну. Если взять среднюю цену реализации АИ-92 в Москве — около 61,50 руб. за литр, то продажа этого топлива сейчас приносит убыток примерно минус 3–3,5 руб. за литр, подсчитал он. Постоянные расходы АЗС Максим Дьяченко оценивает примерно в 6 руб. на литр.</w:t>
      </w:r>
    </w:p>
    <w:p w14:paraId="41A670A3" w14:textId="77777777" w:rsidR="00FD01ED" w:rsidRDefault="00FD01ED" w:rsidP="00FD01ED">
      <w:pPr>
        <w:pStyle w:val="docthought"/>
        <w:pBdr>
          <w:left w:val="single" w:sz="12" w:space="0" w:color="333333"/>
        </w:pBdr>
        <w:rPr>
          <w:rFonts w:ascii="inherit" w:hAnsi="inherit" w:cs="Noto Sans"/>
          <w:b/>
          <w:bCs/>
          <w:color w:val="111111"/>
          <w:sz w:val="15"/>
          <w:szCs w:val="15"/>
        </w:rPr>
      </w:pPr>
      <w:r>
        <w:rPr>
          <w:rFonts w:ascii="inherit" w:hAnsi="inherit" w:cs="Noto Sans"/>
          <w:b/>
          <w:bCs/>
          <w:color w:val="111111"/>
          <w:sz w:val="15"/>
          <w:szCs w:val="15"/>
        </w:rPr>
        <w:t>Глава Российского топливного союза Евгений Аркуша отмечает, что рентабельность продаж бензина как на независимых АЗС, так и на АЗС вертикально интегрированных нефтяных компаний (ВИНК) остается отрицательной, несмотря на некоторое улучшение после снижения биржевых цен.</w:t>
      </w:r>
    </w:p>
    <w:p w14:paraId="293C0238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По его словам, независимые сети, поддерживающие более высокие розничные цены, могут выходить в околонулевую рентабельность, но теряют объемы продаж из-за ценового диспаритета с ВИНК. Господин Аркуша указывает, что в регионах с доминированием независимых сетей объемы продаж сохраняются при высоких розничных ценах, тогда как ВИНК в конкурентных зонах наращивают розничные продажи, сокращая при этом мелкооптовые и биржевые предложения.</w:t>
      </w:r>
    </w:p>
    <w:p w14:paraId="7E2DF27C" w14:textId="77777777" w:rsidR="00FD01ED" w:rsidRDefault="00FD01ED" w:rsidP="00FD01ED">
      <w:pPr>
        <w:pStyle w:val="2"/>
        <w:spacing w:before="0"/>
        <w:rPr>
          <w:rFonts w:ascii="inherit" w:hAnsi="inherit" w:cs="Noto Sans"/>
          <w:color w:val="000000"/>
          <w:sz w:val="36"/>
          <w:szCs w:val="36"/>
        </w:rPr>
      </w:pPr>
      <w:hyperlink r:id="rId14" w:tgtFrame="_self" w:history="1">
        <w:r>
          <w:rPr>
            <w:rStyle w:val="a3"/>
            <w:rFonts w:ascii="inherit" w:hAnsi="inherit" w:cs="Noto Sans"/>
            <w:color w:val="004465"/>
          </w:rPr>
          <w:t>Какие меры поддержки рынка нефтепродуктов обсуждают власти</w:t>
        </w:r>
      </w:hyperlink>
    </w:p>
    <w:p w14:paraId="43BC7E93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Эксперт по энергетике Кирилл Родионов отмечает, что из-за отмены моратория на обнуление демпфера риски нового роста биржевых цен сохраняются: в оставшиеся недели года котировки АИ-92 на Петербургской бирже могут вновь подняться выше 70 тыс. руб. за тонну. По его мнению, несмотря на замедление в последние недели, накопленный рост розничных цен на бензин по итогам года более чем вдвое опередит общую инфляцию. Он полагает, что в сравнении с концом 2024 года цены на АЗС вырастут более чем на 14%.</w:t>
      </w:r>
    </w:p>
    <w:p w14:paraId="3150AD3D" w14:textId="77777777" w:rsidR="00FD01ED" w:rsidRDefault="00FD01ED" w:rsidP="00FD01ED">
      <w:pPr>
        <w:pStyle w:val="advheader"/>
        <w:spacing w:before="0" w:beforeAutospacing="0" w:after="120" w:afterAutospacing="0"/>
        <w:rPr>
          <w:rFonts w:ascii="Noto Sans" w:hAnsi="Noto Sans" w:cs="Noto Sans"/>
          <w:color w:val="AAAAAA"/>
          <w:sz w:val="18"/>
          <w:szCs w:val="18"/>
        </w:rPr>
      </w:pPr>
      <w:r>
        <w:rPr>
          <w:rFonts w:ascii="Noto Sans" w:hAnsi="Noto Sans" w:cs="Noto Sans"/>
          <w:color w:val="AAAAAA"/>
          <w:sz w:val="18"/>
          <w:szCs w:val="18"/>
        </w:rPr>
        <w:t>Реклама — продолжение ниже</w:t>
      </w:r>
    </w:p>
    <w:p w14:paraId="7F12BCD8" w14:textId="77777777" w:rsidR="00FD01ED" w:rsidRDefault="00FD01ED" w:rsidP="00FD01ED">
      <w:pPr>
        <w:pStyle w:val="doctext"/>
        <w:rPr>
          <w:rFonts w:ascii="Noto Sans" w:hAnsi="Noto Sans" w:cs="Noto Sans"/>
          <w:color w:val="111111"/>
          <w:sz w:val="15"/>
          <w:szCs w:val="15"/>
        </w:rPr>
      </w:pPr>
      <w:r>
        <w:rPr>
          <w:rFonts w:ascii="Noto Sans" w:hAnsi="Noto Sans" w:cs="Noto Sans"/>
          <w:color w:val="111111"/>
          <w:sz w:val="15"/>
          <w:szCs w:val="15"/>
        </w:rPr>
        <w:t>Как указывает Максим Дьяченко, для нормальной работы отрасли необходим рост розничных цен хотя бы на 7–8 руб. за литр. При этом, продолжает он, оптовые котировки уже существенно скорректировались — для бензина снижение составило около 6 руб. за литр, поэтому к концу года потребность в росте может быть ниже.</w:t>
      </w:r>
    </w:p>
    <w:p w14:paraId="0CE3B9CF" w14:textId="77777777" w:rsidR="00FD01ED" w:rsidRDefault="00FD01ED" w:rsidP="00FD01ED">
      <w:pPr>
        <w:pStyle w:val="doctext"/>
        <w:rPr>
          <w:rFonts w:ascii="Noto Sans" w:hAnsi="Noto Sans" w:cs="Noto Sans"/>
          <w:i/>
          <w:iCs/>
          <w:color w:val="666666"/>
          <w:sz w:val="15"/>
          <w:szCs w:val="15"/>
        </w:rPr>
      </w:pPr>
      <w:r>
        <w:rPr>
          <w:rFonts w:ascii="Noto Sans" w:hAnsi="Noto Sans" w:cs="Noto Sans"/>
          <w:i/>
          <w:iCs/>
          <w:color w:val="666666"/>
          <w:sz w:val="15"/>
          <w:szCs w:val="15"/>
        </w:rPr>
        <w:t>Ольга Семеновых</w:t>
      </w:r>
    </w:p>
    <w:p w14:paraId="49C42362" w14:textId="77777777" w:rsidR="00FD01ED" w:rsidRDefault="00FD01ED" w:rsidP="000E672E">
      <w:pPr>
        <w:rPr>
          <w:rFonts w:ascii="Arial" w:hAnsi="Arial" w:cs="Arial"/>
          <w:color w:val="231F20"/>
          <w:sz w:val="24"/>
          <w:szCs w:val="24"/>
        </w:rPr>
      </w:pPr>
    </w:p>
    <w:p w14:paraId="214F01F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471C"/>
    <w:multiLevelType w:val="multilevel"/>
    <w:tmpl w:val="A46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B3C57"/>
    <w:multiLevelType w:val="multilevel"/>
    <w:tmpl w:val="476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818EC"/>
    <w:multiLevelType w:val="multilevel"/>
    <w:tmpl w:val="7FC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E09"/>
    <w:multiLevelType w:val="multilevel"/>
    <w:tmpl w:val="D1A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624A"/>
    <w:multiLevelType w:val="multilevel"/>
    <w:tmpl w:val="19A8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1C64"/>
    <w:multiLevelType w:val="multilevel"/>
    <w:tmpl w:val="DA8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97368"/>
    <w:multiLevelType w:val="multilevel"/>
    <w:tmpl w:val="5AE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3633F"/>
    <w:multiLevelType w:val="multilevel"/>
    <w:tmpl w:val="56E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F5"/>
    <w:rsid w:val="000E672E"/>
    <w:rsid w:val="006C0B77"/>
    <w:rsid w:val="008242FF"/>
    <w:rsid w:val="00870751"/>
    <w:rsid w:val="00922C48"/>
    <w:rsid w:val="00B915B7"/>
    <w:rsid w:val="00BC31F5"/>
    <w:rsid w:val="00EA59DF"/>
    <w:rsid w:val="00EE4070"/>
    <w:rsid w:val="00F12C76"/>
    <w:rsid w:val="00FD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E238A"/>
  <w15:chartTrackingRefBased/>
  <w15:docId w15:val="{E03EB315-EC36-437F-9C0E-31A4347D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C31F5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1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31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BC31F5"/>
    <w:rPr>
      <w:color w:val="0000FF"/>
      <w:u w:val="single"/>
    </w:rPr>
  </w:style>
  <w:style w:type="character" w:customStyle="1" w:styleId="articleheaderdate">
    <w:name w:val="article__header__date"/>
    <w:basedOn w:val="a0"/>
    <w:rsid w:val="00BC31F5"/>
  </w:style>
  <w:style w:type="paragraph" w:styleId="a4">
    <w:name w:val="Normal (Web)"/>
    <w:basedOn w:val="a"/>
    <w:uiPriority w:val="99"/>
    <w:semiHidden/>
    <w:unhideWhenUsed/>
    <w:rsid w:val="00BC31F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C31F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D01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h">
    <w:name w:val="vh"/>
    <w:basedOn w:val="a0"/>
    <w:rsid w:val="00FD01ED"/>
  </w:style>
  <w:style w:type="character" w:customStyle="1" w:styleId="auth">
    <w:name w:val="auth"/>
    <w:basedOn w:val="a0"/>
    <w:rsid w:val="00FD01E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D01ED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D01E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D01ED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D01E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sitemenuitem">
    <w:name w:val="site_menu__item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regionsitem">
    <w:name w:val="regions__item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ctualitem">
    <w:name w:val="actual__item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ctualmoneyitem">
    <w:name w:val="actual__money_item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cookieconsentmessagetext">
    <w:name w:val="cookie_consent__message_text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crumbsitem">
    <w:name w:val="crumbs__item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octext">
    <w:name w:val="doc__text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ocmediatext">
    <w:name w:val="doc_media__text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incutnotetext">
    <w:name w:val="incut__note_text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octhought">
    <w:name w:val="doc__thought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dvheader">
    <w:name w:val="adv_header"/>
    <w:basedOn w:val="a"/>
    <w:rsid w:val="00FD01E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6646">
              <w:marLeft w:val="0"/>
              <w:marRight w:val="0"/>
              <w:marTop w:val="0"/>
              <w:marBottom w:val="28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8619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05723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7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9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8579">
              <w:marLeft w:val="-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5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1083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05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2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6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8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0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9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899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40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0" w:color="333333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30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12" w:space="0" w:color="004465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8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3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1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281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33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1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3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anies.rbc.ru/news/jmKA3lUTEx/analitiki-ppr-uznali-v-kakoe-vremya-na-zapravkah-net-ocheredej/" TargetMode="External"/><Relationship Id="rId13" Type="http://schemas.openxmlformats.org/officeDocument/2006/relationships/hyperlink" Target="https://www.kommersant.ru/doc/806140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keting.rbc.ru/research/52768/" TargetMode="External"/><Relationship Id="rId12" Type="http://schemas.openxmlformats.org/officeDocument/2006/relationships/image" Target="media/image3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jpeg"/><Relationship Id="rId5" Type="http://schemas.openxmlformats.org/officeDocument/2006/relationships/hyperlink" Target="https://marketing.rbc.ru/author/83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ommersant.ru/rubric/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mersant.ru/?from=logo" TargetMode="External"/><Relationship Id="rId14" Type="http://schemas.openxmlformats.org/officeDocument/2006/relationships/hyperlink" Target="https://www.kommersant.ru/doc/8139062?from=doc_vre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3</cp:revision>
  <dcterms:created xsi:type="dcterms:W3CDTF">2025-11-25T10:11:00Z</dcterms:created>
  <dcterms:modified xsi:type="dcterms:W3CDTF">2025-11-25T10:16:00Z</dcterms:modified>
</cp:coreProperties>
</file>