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The store keeps the same </w:t>
      </w:r>
      <w:r>
        <w:rPr>
          <w:b/>
          <w:i/>
        </w:rPr>
        <w:t>`--mj-*` token structure + neutrals</w:t>
      </w:r>
      <w:r>
        <w:rPr>
          <w:i/>
        </w:rPr>
        <w:t xml:space="preserve">, but </w:t>
      </w:r>
      <w:r>
        <w:rPr>
          <w:b/>
          <w:i/>
        </w:rPr>
        <w:t>Decision (D12): the storefront uses its own brand accent — Scandi sage/slate `#5b6b73` — *not* the CRM indigo</w:t>
      </w:r>
      <w:r>
        <w:rPr>
          <w:i/>
        </w:rPr>
        <w:t xml:space="preserve"> (compared side-by-side: </w:t>
      </w:r>
      <w:r>
        <w:rPr>
          <w:rFonts w:ascii="Consolas" w:hAnsi="Consolas"/>
          <w:i/>
          <w:sz w:val="19"/>
        </w:rPr>
        <w:t>../assets/MEJA-accent-comparison.pdf</w:t>
      </w:r>
      <w:r>
        <w:rPr>
          <w:i/>
        </w:rPr>
        <w:t>). Layout, type roles, and neutrals stay shared; only the accent value differs.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