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Heading3"/>
      </w:pPr>
      <w:r>
        <w:t>2.1 Color (token roles — values set per iteration)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rules engine.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#3 Modern Luxe</w:t>
      </w:r>
      <w:r>
        <w:t xml:space="preserve"> for brand warmth + premium feel, and </w:t>
      </w:r>
      <w:r>
        <w:rPr>
          <w:b/>
        </w:rPr>
        <w:t>borrow #6/#10 patterns</w:t>
      </w:r>
      <w:r>
        <w:t xml:space="preserve"> for the configurator and 4K viewer.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t>Produce a high-fidelity prototype of Home + Collection + Configurator + Private listing.</w:t>
      </w:r>
    </w:p>
    <w:p>
      <w:pPr>
        <w:pStyle w:val="ListNumber"/>
      </w:pPr>
      <w:r>
        <w:t>Accessibility + performance pass against §6 before engineering hand-off.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v0.1). Please approve one primary iteration (and any accents) — Decision D2.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