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PQC-Monitor</w:t>
      </w:r>
      <w:r>
        <w:t xml:space="preserve"> </w:t>
      </w:r>
      <w:r>
        <w:t xml:space="preserve">—</w:t>
      </w:r>
      <w:r>
        <w:t xml:space="preserve"> </w:t>
      </w:r>
      <w:r>
        <w:t xml:space="preserve">User</w:t>
      </w:r>
      <w:r>
        <w:t xml:space="preserve"> </w:t>
      </w:r>
      <w:r>
        <w:t xml:space="preserve">Manual</w:t>
      </w:r>
    </w:p>
    <w:p>
      <w:pPr>
        <w:pStyle w:val="Subtitle"/>
      </w:pPr>
      <w:r>
        <w:t xml:space="preserve">Analyst</w:t>
      </w:r>
      <w:r>
        <w:t xml:space="preserve"> </w:t>
      </w:r>
      <w:r>
        <w:t xml:space="preserve">and</w:t>
      </w:r>
      <w:r>
        <w:t xml:space="preserve"> </w:t>
      </w:r>
      <w:r>
        <w:t xml:space="preserve">Community</w:t>
      </w:r>
      <w:r>
        <w:t xml:space="preserve"> </w:t>
      </w:r>
      <w:r>
        <w:t xml:space="preserve">Manager</w:t>
      </w:r>
      <w:r>
        <w:t xml:space="preserve"> </w:t>
      </w:r>
      <w:r>
        <w:t xml:space="preserve">Guide</w:t>
      </w:r>
      <w:r>
        <w:t xml:space="preserve"> </w:t>
      </w:r>
      <w:r>
        <w:t xml:space="preserve">·</w:t>
      </w:r>
      <w:r>
        <w:t xml:space="preserve"> </w:t>
      </w:r>
      <w:r>
        <w:t xml:space="preserve">Version</w:t>
      </w:r>
      <w:r>
        <w:t xml:space="preserve"> </w:t>
      </w:r>
      <w:r>
        <w:t xml:space="preserve">1.11.0</w:t>
      </w:r>
    </w:p>
    <w:p>
      <w:pPr>
        <w:pStyle w:val="Author"/>
      </w:pPr>
      <w:r>
        <w:t xml:space="preserve">PQC-Monitor</w:t>
      </w:r>
      <w:r>
        <w:t xml:space="preserve"> </w:t>
      </w:r>
      <w:r>
        <w:t xml:space="preserve">Project</w:t>
      </w:r>
      <w:r>
        <w:t xml:space="preserve"> </w:t>
      </w:r>
      <w:r>
        <w:t xml:space="preserve">·</w:t>
      </w:r>
      <w:r>
        <w:t xml:space="preserve"> </w:t>
      </w:r>
      <w:r>
        <w:t xml:space="preserve">https://github.com/jfsp/pqc-monitor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cope-of-this-manual"/>
    <w:p>
      <w:pPr>
        <w:pStyle w:val="Heading2"/>
      </w:pPr>
      <w:r>
        <w:t xml:space="preserve">1. Scope of this manual</w:t>
      </w:r>
    </w:p>
    <w:p>
      <w:pPr>
        <w:pStyle w:val="FirstParagraph"/>
      </w:pPr>
      <w:r>
        <w:t xml:space="preserve">This manual documents the PQC-Monitor web interface from the point of view of a user with the</w:t>
      </w:r>
      <w:r>
        <w:t xml:space="preserve"> </w:t>
      </w:r>
      <w:r>
        <w:rPr>
          <w:rStyle w:val="VerbatimChar"/>
        </w:rPr>
        <w:t xml:space="preserve">analyst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community_manager</w:t>
      </w:r>
      <w:r>
        <w:t xml:space="preserve"> </w:t>
      </w:r>
      <w:r>
        <w:t xml:space="preserve">role. Administrative functions (user management, organisations,</w:t>
      </w:r>
      <w:r>
        <w:t xml:space="preserve"> </w:t>
      </w:r>
      <w:r>
        <w:t xml:space="preserve">domain lists, audit log, scan triggering, domain discovery, roadmap generation, CT monitor runs)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covered here — they belong to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and are documented separately.</w:t>
      </w:r>
    </w:p>
    <w:p>
      <w:pPr>
        <w:pStyle w:val="BodyText"/>
      </w:pPr>
      <w:r>
        <w:t xml:space="preserve">If a screen or button described here is missing from your session, it is almost always a role</w:t>
      </w:r>
      <w:r>
        <w:t xml:space="preserve"> </w:t>
      </w:r>
      <w:r>
        <w:t xml:space="preserve">scoping difference. See §3.3.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01-landing-dashboard.png</w:t>
      </w:r>
      <w:r>
        <w:t xml:space="preserve"> </w:t>
      </w:r>
      <w:r>
        <w:t xml:space="preserve">Full dashboard immediately after login: header, navigation bar, KPI cards, both charts and the</w:t>
      </w:r>
      <w:r>
        <w:t xml:space="preserve"> </w:t>
      </w:r>
      <w:r>
        <w:t xml:space="preserve">top of the Domain Assessments table.</w:t>
      </w:r>
    </w:p>
    <w:p>
      <w:r>
        <w:pict>
          <v:rect style="width:0;height:1.5pt" o:hralign="center" o:hrstd="t" o:hr="t"/>
        </w:pict>
      </w:r>
    </w:p>
    <w:bookmarkEnd w:id="20"/>
    <w:bookmarkStart w:id="26" w:name="concepts-you-need-before-using-the-tool"/>
    <w:p>
      <w:pPr>
        <w:pStyle w:val="Heading2"/>
      </w:pPr>
      <w:r>
        <w:t xml:space="preserve">2. Concepts you need before using the tool</w:t>
      </w:r>
    </w:p>
    <w:bookmarkStart w:id="21" w:name="what-pqc-monitor-measures"/>
    <w:p>
      <w:pPr>
        <w:pStyle w:val="Heading3"/>
      </w:pPr>
      <w:r>
        <w:t xml:space="preserve">2.1 What PQC-Monitor measures</w:t>
      </w:r>
    </w:p>
    <w:p>
      <w:pPr>
        <w:pStyle w:val="FirstParagraph"/>
      </w:pPr>
      <w:r>
        <w:t xml:space="preserve">PQC-Monitor performs</w:t>
      </w:r>
      <w:r>
        <w:t xml:space="preserve"> </w:t>
      </w:r>
      <w:r>
        <w:rPr>
          <w:bCs/>
          <w:b/>
        </w:rPr>
        <w:t xml:space="preserve">non-intrusive, passive assessment</w:t>
      </w:r>
      <w:r>
        <w:t xml:space="preserve"> </w:t>
      </w:r>
      <w:r>
        <w:t xml:space="preserve">of the TLS posture of internet-facing</w:t>
      </w:r>
      <w:r>
        <w:t xml:space="preserve"> </w:t>
      </w:r>
      <w:r>
        <w:t xml:space="preserve">services and grades how prepared each service is for the post-quantum transition. It does not</w:t>
      </w:r>
      <w:r>
        <w:t xml:space="preserve"> </w:t>
      </w:r>
      <w:r>
        <w:t xml:space="preserve">exploit, brute-force or stress anything; it negotiates TLS, enumerates offered cipher suites and</w:t>
      </w:r>
      <w:r>
        <w:t xml:space="preserve"> </w:t>
      </w:r>
      <w:r>
        <w:t xml:space="preserve">key-exchange groups, inspects certificates and chains, and queries public sources (Certificate</w:t>
      </w:r>
      <w:r>
        <w:t xml:space="preserve"> </w:t>
      </w:r>
      <w:r>
        <w:t xml:space="preserve">Transparency logs, Qualys SSL Labs cache).</w:t>
      </w:r>
    </w:p>
    <w:p>
      <w:pPr>
        <w:pStyle w:val="BodyText"/>
      </w:pPr>
      <w:r>
        <w:t xml:space="preserve">Assessment rules come from three published guideline sets, shipped as JSON and versioned with the</w:t>
      </w:r>
      <w:r>
        <w:t xml:space="preserve"> </w:t>
      </w:r>
      <w:r>
        <w:t xml:space="preserve">tool: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Guideline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in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nist_800_131a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SP 800-131A Rev. 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r3-ipd-2024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bsi_tr02102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BSI TR-02102-1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ccn_stic_221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CCN-STIC-221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</w:tr>
    </w:tbl>
    <w:bookmarkEnd w:id="21"/>
    <w:bookmarkStart w:id="22" w:name="the-pqc-readiness-score"/>
    <w:p>
      <w:pPr>
        <w:pStyle w:val="Heading3"/>
      </w:pPr>
      <w:r>
        <w:t xml:space="preserve">2.2 The PQC readiness score</w:t>
      </w:r>
    </w:p>
    <w:p>
      <w:pPr>
        <w:pStyle w:val="FirstParagraph"/>
      </w:pPr>
      <w:r>
        <w:t xml:space="preserve">Each assessment produces an integer score 0–100 and a level. The score is the mean of the</w:t>
      </w:r>
      <w:r>
        <w:t xml:space="preserve"> </w:t>
      </w:r>
      <w:r>
        <w:t xml:space="preserve">individual sub-scores produced by TLS version analysis, cipher analysis, certificate analysis,</w:t>
      </w:r>
      <w:r>
        <w:t xml:space="preserve"> </w:t>
      </w:r>
      <w:r>
        <w:t xml:space="preserve">chain analysis, cipher-enumeration analysis and the PQC key-exchange check, clamped to 0–100.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or deprecated algorithms in use (MD5, RC4, DES, RSA-1024, SHA-1 signing)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26–50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today but not PQC-ready (RSA-2048, TLS 1.2 only, no forward secrecy)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51–75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classical crypto with TLS 1.3 and ECDHE, but no PQC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76–100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PQC algorithms present (ML-KEM, ML-DSA) or fully prepared for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reachable TLS service on the host. Excluded from average-score maths.</w:t>
            </w:r>
          </w:p>
        </w:tc>
      </w:tr>
    </w:tbl>
    <w:p>
      <w:pPr>
        <w:pStyle w:val="BodyText"/>
      </w:pPr>
      <w:r>
        <w:t xml:space="preserve">Two things worth internalising as an analyst: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PQC presence is worth a lot.</w:t>
      </w:r>
      <w:r>
        <w:t xml:space="preserve"> </w:t>
      </w:r>
      <w:r>
        <w:t xml:space="preserve">A domain offering a post-quantum group contributes a 95</w:t>
      </w:r>
      <w:r>
        <w:t xml:space="preserve"> </w:t>
      </w:r>
      <w:r>
        <w:t xml:space="preserve">sub-score; a domain offering none contributes 30. A</w:t>
      </w:r>
      <w:r>
        <w:t xml:space="preserve"> </w:t>
      </w:r>
      <w:r>
        <w:t xml:space="preserve">“</w:t>
      </w:r>
      <w:r>
        <w:t xml:space="preserve">Moderate</w:t>
      </w:r>
      <w:r>
        <w:t xml:space="preserve">”</w:t>
      </w:r>
      <w:r>
        <w:t xml:space="preserve"> </w:t>
      </w:r>
      <w:r>
        <w:t xml:space="preserve">domain with excellent classical</w:t>
      </w:r>
      <w:r>
        <w:t xml:space="preserve"> </w:t>
      </w:r>
      <w:r>
        <w:t xml:space="preserve">hygiene is usually only one configuration change away from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 expired certificate contributes a 0 sub-score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finding, which will drag</w:t>
      </w:r>
      <w:r>
        <w:t xml:space="preserve"> </w:t>
      </w:r>
      <w:r>
        <w:t xml:space="preserve">an otherwise healthy domain down hard.</w:t>
      </w:r>
    </w:p>
    <w:bookmarkEnd w:id="22"/>
    <w:bookmarkStart w:id="23" w:name="Xb4c9fe4149d7b77b8cc7939919bde3d6dbf61af"/>
    <w:p>
      <w:pPr>
        <w:pStyle w:val="Heading3"/>
      </w:pPr>
      <w:r>
        <w:t xml:space="preserve">2.3 Offered vs negotiated PQC — the grading basis</w:t>
      </w:r>
    </w:p>
    <w:p>
      <w:pPr>
        <w:pStyle w:val="FirstParagraph"/>
      </w:pPr>
      <w:r>
        <w:t xml:space="preserve">PQC grading is based on the key-exchange groups the</w:t>
      </w:r>
      <w:r>
        <w:t xml:space="preserve"> </w:t>
      </w:r>
      <w:r>
        <w:rPr>
          <w:bCs/>
          <w:b/>
        </w:rPr>
        <w:t xml:space="preserve">server offers</w:t>
      </w:r>
      <w:r>
        <w:t xml:space="preserve">, not on what a particular</w:t>
      </w:r>
      <w:r>
        <w:t xml:space="preserve"> </w:t>
      </w:r>
      <w:r>
        <w:t xml:space="preserve">client happens to negotiate. Negotiation depends on the client’s own group list, so a</w:t>
      </w:r>
      <w:r>
        <w:t xml:space="preserve"> </w:t>
      </w:r>
      <w:r>
        <w:t xml:space="preserve">negotiated-only check systematically under-reports. The Full TLS Details view labels this</w:t>
      </w:r>
      <w:r>
        <w:t xml:space="preserve"> </w:t>
      </w:r>
      <w:r>
        <w:t xml:space="preserve">explicitly (</w:t>
      </w:r>
      <w:r>
        <w:t xml:space="preserve">“</w:t>
      </w:r>
      <w:r>
        <w:t xml:space="preserve">offered by server — client-independent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Where a record predates the group-enumeration feature, the detail view shows the older</w:t>
      </w:r>
      <w:r>
        <w:t xml:space="preserve"> </w:t>
      </w:r>
      <w:r>
        <w:t xml:space="preserve">negotiated-only wording (</w:t>
      </w:r>
      <w:r>
        <w:t xml:space="preserve">“</w:t>
      </w:r>
      <w:r>
        <w:t xml:space="preserve">server may still offer PQC</w:t>
      </w:r>
      <w:r>
        <w:t xml:space="preserve">”</w:t>
      </w:r>
      <w:r>
        <w:t xml:space="preserve">). Treat those as lower-confidence and worth</w:t>
      </w:r>
      <w:r>
        <w:t xml:space="preserve"> </w:t>
      </w:r>
      <w:r>
        <w:t xml:space="preserve">a re-scan request.</w:t>
      </w:r>
    </w:p>
    <w:p>
      <w:pPr>
        <w:pStyle w:val="BodyText"/>
      </w:pPr>
      <w:r>
        <w:t xml:space="preserve">Hybrid groups (e.g. </w:t>
      </w:r>
      <w:r>
        <w:rPr>
          <w:rStyle w:val="VerbatimChar"/>
        </w:rPr>
        <w:t xml:space="preserve">X25519MLKEM768</w:t>
      </w:r>
      <w:r>
        <w:t xml:space="preserve">) are the preferred deployment. A server offering a</w:t>
      </w:r>
      <w:r>
        <w:t xml:space="preserve"> </w:t>
      </w:r>
      <w:r>
        <w:rPr>
          <w:bCs/>
          <w:b/>
        </w:rPr>
        <w:t xml:space="preserve">pure,</w:t>
      </w:r>
      <w:r>
        <w:rPr>
          <w:bCs/>
          <w:b/>
        </w:rPr>
        <w:t xml:space="preserve"> </w:t>
      </w:r>
      <w:r>
        <w:rPr>
          <w:bCs/>
          <w:b/>
        </w:rPr>
        <w:t xml:space="preserve">non-hybrid ML-KEM</w:t>
      </w:r>
      <w:r>
        <w:t xml:space="preserve"> </w:t>
      </w:r>
      <w:r>
        <w:t xml:space="preserve">group generates a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finding recommending hybrid, because hybrid stays</w:t>
      </w:r>
      <w:r>
        <w:t xml:space="preserve"> </w:t>
      </w:r>
      <w:r>
        <w:t xml:space="preserve">secure if either primitive is broken.</w:t>
      </w:r>
    </w:p>
    <w:bookmarkEnd w:id="23"/>
    <w:bookmarkStart w:id="24" w:name="findings"/>
    <w:p>
      <w:pPr>
        <w:pStyle w:val="Heading3"/>
      </w:pPr>
      <w:r>
        <w:t xml:space="preserve">2.4 Findings</w:t>
      </w:r>
    </w:p>
    <w:p>
      <w:pPr>
        <w:pStyle w:val="FirstParagraph"/>
      </w:pPr>
      <w:r>
        <w:t xml:space="preserve">Every assessment carries a list of findings. Each has: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rPr>
          <w:rStyle w:val="VerbatimChar"/>
        </w:rPr>
        <w:t xml:space="preserve">tls_version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cipher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pqc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Message</w:t>
      </w:r>
      <w:r>
        <w:t xml:space="preserve">,</w:t>
      </w:r>
      <w:r>
        <w:t xml:space="preserve"> </w:t>
      </w:r>
      <w:r>
        <w:rPr>
          <w:bCs/>
          <w:b/>
        </w:rPr>
        <w:t xml:space="preserve">recommendation</w:t>
      </w:r>
      <w:r>
        <w:t xml:space="preserve">, and the</w:t>
      </w:r>
      <w:r>
        <w:t xml:space="preserve"> </w:t>
      </w:r>
      <w:r>
        <w:rPr>
          <w:bCs/>
          <w:b/>
        </w:rPr>
        <w:t xml:space="preserve">guideline</w:t>
      </w:r>
      <w:r>
        <w:t xml:space="preserve"> </w:t>
      </w:r>
      <w:r>
        <w:t xml:space="preserve">that produced it</w:t>
      </w:r>
    </w:p>
    <w:p>
      <w:pPr>
        <w:pStyle w:val="FirstParagraph"/>
      </w:pPr>
      <w:r>
        <w:t xml:space="preserve">The Domain Assessments table summarises only the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counts per row; open the</w:t>
      </w:r>
      <w:r>
        <w:t xml:space="preserve"> </w:t>
      </w:r>
      <w:r>
        <w:t xml:space="preserve">domain detail to see the full list.</w:t>
      </w:r>
    </w:p>
    <w:bookmarkEnd w:id="24"/>
    <w:bookmarkStart w:id="25" w:name="scoping"/>
    <w:p>
      <w:pPr>
        <w:pStyle w:val="Heading3"/>
      </w:pPr>
      <w:r>
        <w:t xml:space="preserve">2.5 Scoping</w:t>
      </w:r>
    </w:p>
    <w:p>
      <w:pPr>
        <w:pStyle w:val="FirstParagraph"/>
      </w:pPr>
      <w:r>
        <w:t xml:space="preserve">Analysts and community managers see</w:t>
      </w:r>
      <w:r>
        <w:t xml:space="preserve"> </w:t>
      </w:r>
      <w:r>
        <w:rPr>
          <w:bCs/>
          <w:b/>
        </w:rPr>
        <w:t xml:space="preserve">only the domains in the domain lists assigned to them</w:t>
      </w:r>
      <w:r>
        <w:t xml:space="preserve"> </w:t>
      </w:r>
      <w:r>
        <w:t xml:space="preserve">by</w:t>
      </w:r>
      <w:r>
        <w:t xml:space="preserve"> </w:t>
      </w:r>
      <w:r>
        <w:t xml:space="preserve">an administrator. A banner under the header states this. All KPI cards, charts and tables — and</w:t>
      </w:r>
      <w:r>
        <w:t xml:space="preserve"> </w:t>
      </w:r>
      <w:r>
        <w:t xml:space="preserve">the average score — are recomputed over your visible subset, so your figures will legitimately</w:t>
      </w:r>
      <w:r>
        <w:t xml:space="preserve"> </w:t>
      </w:r>
      <w:r>
        <w:t xml:space="preserve">differ from another user’s.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getting-started"/>
    <w:p>
      <w:pPr>
        <w:pStyle w:val="Heading2"/>
      </w:pPr>
      <w:r>
        <w:t xml:space="preserve">3. Getting started</w:t>
      </w:r>
    </w:p>
    <w:bookmarkStart w:id="27" w:name="signing-in"/>
    <w:p>
      <w:pPr>
        <w:pStyle w:val="Heading3"/>
      </w:pPr>
      <w:r>
        <w:t xml:space="preserve">3.1 Signing in</w:t>
      </w:r>
    </w:p>
    <w:p>
      <w:pPr>
        <w:pStyle w:val="FirstParagraph"/>
      </w:pPr>
      <w:r>
        <w:t xml:space="preserve">Open the tool URL and sign in with your username and password.</w:t>
      </w:r>
    </w:p>
    <w:p>
      <w:pPr>
        <w:numPr>
          <w:ilvl w:val="0"/>
          <w:numId w:val="1003"/>
        </w:numPr>
        <w:pStyle w:val="Compact"/>
      </w:pPr>
      <w:r>
        <w:t xml:space="preserve">After</w:t>
      </w:r>
      <w:r>
        <w:t xml:space="preserve"> </w:t>
      </w:r>
      <w:r>
        <w:rPr>
          <w:bCs/>
          <w:b/>
        </w:rPr>
        <w:t xml:space="preserve">10 consecutive failed attempts</w:t>
      </w:r>
      <w:r>
        <w:t xml:space="preserve"> </w:t>
      </w:r>
      <w:r>
        <w:t xml:space="preserve">the account is locked for</w:t>
      </w:r>
      <w:r>
        <w:t xml:space="preserve"> </w:t>
      </w:r>
      <w:r>
        <w:rPr>
          <w:bCs/>
          <w:b/>
        </w:rPr>
        <w:t xml:space="preserve">15 minutes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Browser sessions last</w:t>
      </w:r>
      <w:r>
        <w:t xml:space="preserve"> </w:t>
      </w:r>
      <w:r>
        <w:rPr>
          <w:bCs/>
          <w:b/>
        </w:rPr>
        <w:t xml:space="preserve">8 hours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If an administrator issued you a temporary password, you are redirected to a forced</w:t>
      </w:r>
      <w:r>
        <w:t xml:space="preserve"> </w:t>
      </w:r>
      <w:r>
        <w:t xml:space="preserve">password-change screen and cannot use the tool until you set a new one.</w:t>
      </w:r>
    </w:p>
    <w:p>
      <w:pPr>
        <w:numPr>
          <w:ilvl w:val="0"/>
          <w:numId w:val="1003"/>
        </w:numPr>
        <w:pStyle w:val="Compact"/>
      </w:pPr>
      <w:r>
        <w:t xml:space="preserve">Passwords must be</w:t>
      </w:r>
      <w:r>
        <w:t xml:space="preserve"> </w:t>
      </w:r>
      <w:r>
        <w:rPr>
          <w:bCs/>
          <w:b/>
        </w:rPr>
        <w:t xml:space="preserve">at least 10 characters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02-login.png</w:t>
      </w:r>
      <w:r>
        <w:t xml:space="preserve"> </w:t>
      </w:r>
      <w:r>
        <w:t xml:space="preserve">Login form, including the</w:t>
      </w:r>
      <w:r>
        <w:t xml:space="preserve"> </w:t>
      </w:r>
      <w:r>
        <w:t xml:space="preserve">“</w:t>
      </w:r>
      <w:r>
        <w:t xml:space="preserve">Forgot password</w:t>
      </w:r>
      <w:r>
        <w:t xml:space="preserve">”</w:t>
      </w:r>
      <w:r>
        <w:t xml:space="preserve"> </w:t>
      </w:r>
      <w:r>
        <w:t xml:space="preserve">link.</w:t>
      </w:r>
    </w:p>
    <w:bookmarkEnd w:id="27"/>
    <w:bookmarkStart w:id="28" w:name="forgotten-password"/>
    <w:p>
      <w:pPr>
        <w:pStyle w:val="Heading3"/>
      </w:pPr>
      <w:r>
        <w:t xml:space="preserve">3.2 Forgotten password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Cs/>
          <w:b/>
        </w:rPr>
        <w:t xml:space="preserve">Forgot password</w:t>
      </w:r>
      <w:r>
        <w:t xml:space="preserve"> </w:t>
      </w:r>
      <w:r>
        <w:t xml:space="preserve">link. A single-use, time-limited reset link is emailed to the address</w:t>
      </w:r>
      <w:r>
        <w:t xml:space="preserve"> </w:t>
      </w:r>
      <w:r>
        <w:t xml:space="preserve">on your account. Opening it takes you to a reset form. For privacy, the response is identical</w:t>
      </w:r>
      <w:r>
        <w:t xml:space="preserve"> </w:t>
      </w:r>
      <w:r>
        <w:t xml:space="preserve">whether or not the address is registered.</w:t>
      </w:r>
    </w:p>
    <w:p>
      <w:pPr>
        <w:pStyle w:val="BodyText"/>
      </w:pPr>
      <w:r>
        <w:t xml:space="preserve">Changing your password</w:t>
      </w:r>
      <w:r>
        <w:t xml:space="preserve"> </w:t>
      </w:r>
      <w:r>
        <w:rPr>
          <w:bCs/>
          <w:b/>
        </w:rPr>
        <w:t xml:space="preserve">invalidates all your other active sessions</w:t>
      </w:r>
      <w:r>
        <w:t xml:space="preserve">, on every device.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03-password-reset.png</w:t>
      </w:r>
      <w:r>
        <w:t xml:space="preserve"> </w:t>
      </w:r>
      <w:r>
        <w:t xml:space="preserve">The reset form reached from the emailed link.</w:t>
      </w:r>
    </w:p>
    <w:bookmarkEnd w:id="28"/>
    <w:bookmarkStart w:id="29" w:name="what-your-role-gives-you"/>
    <w:p>
      <w:pPr>
        <w:pStyle w:val="Heading3"/>
      </w:pPr>
      <w:r>
        <w:t xml:space="preserve">3.3 What your role gives you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Dashboard, domain detail, Full TLS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Trends, schedules (read-only)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Monitor (view stored results)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Roadmap (view generated plans)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(reference)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 Report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API (§10)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Report CSV/PDF +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Scan, Domain Discovery, roadmap generation, CT runs, 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If you need a domain scanned, a roadmap regenerated or a CT query executed, ask an administrator.</w:t>
      </w:r>
    </w:p>
    <w:bookmarkEnd w:id="29"/>
    <w:bookmarkStart w:id="30" w:name="header-and-navigation"/>
    <w:p>
      <w:pPr>
        <w:pStyle w:val="Heading3"/>
      </w:pPr>
      <w:r>
        <w:t xml:space="preserve">3.4 Header and navigation</w:t>
      </w:r>
    </w:p>
    <w:p>
      <w:pPr>
        <w:pStyle w:val="FirstParagraph"/>
      </w:pPr>
      <w:r>
        <w:t xml:space="preserve">The header shows the product version, your username, a role badge, a</w:t>
      </w:r>
      <w:r>
        <w:t xml:space="preserve"> </w:t>
      </w:r>
      <w:r>
        <w:rPr>
          <w:bCs/>
          <w:b/>
        </w:rPr>
        <w:t xml:space="preserve">Password</w:t>
      </w:r>
      <w:r>
        <w:t xml:space="preserve"> </w:t>
      </w:r>
      <w:r>
        <w:t xml:space="preserve">link (change</w:t>
      </w:r>
      <w:r>
        <w:t xml:space="preserve"> </w:t>
      </w:r>
      <w:r>
        <w:t xml:space="preserve">your own password) and</w:t>
      </w:r>
      <w:r>
        <w:t xml:space="preserve"> </w:t>
      </w:r>
      <w:r>
        <w:rPr>
          <w:bCs/>
          <w:b/>
        </w:rPr>
        <w:t xml:space="preserve">Sign out</w:t>
      </w:r>
      <w:r>
        <w:t xml:space="preserve">. The navigation bar below it switches between views without</w:t>
      </w:r>
      <w:r>
        <w:t xml:space="preserve"> </w:t>
      </w:r>
      <w:r>
        <w:t xml:space="preserve">reloading the page.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04-header-nav.png</w:t>
      </w:r>
      <w:r>
        <w:t xml:space="preserve"> </w:t>
      </w:r>
      <w:r>
        <w:t xml:space="preserve">Close-up of the header: version, username, role badge, Password / Sign out links, and the</w:t>
      </w:r>
      <w:r>
        <w:t xml:space="preserve"> </w:t>
      </w:r>
      <w:r>
        <w:t xml:space="preserve">navigation buttons as seen by an analyst (no Scan / Domain Discovery buttons).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dashboard"/>
    <w:p>
      <w:pPr>
        <w:pStyle w:val="Heading2"/>
      </w:pPr>
      <w:r>
        <w:t xml:space="preserve">4. Dashboard</w:t>
      </w:r>
    </w:p>
    <w:p>
      <w:pPr>
        <w:pStyle w:val="FirstParagraph"/>
      </w:pPr>
      <w:r>
        <w:t xml:space="preserve">The default view and your main working surface.</w:t>
      </w:r>
    </w:p>
    <w:bookmarkStart w:id="32" w:name="kpi-cards"/>
    <w:p>
      <w:pPr>
        <w:pStyle w:val="Heading3"/>
      </w:pPr>
      <w:r>
        <w:t xml:space="preserve">4.1 KPI cards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Clickable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Domains Monitored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domains visible to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PQC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score, excluding N/A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Domains scoring 0–25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Domains scoring 26–50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Domains scoring 51–75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Domains scoring 76–100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Domains with no reachable TLS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Domains offering a post-quantum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 Certs (CT)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PQC certificates seen in CT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Urgent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Phase 1 roadmap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Clicking a filter card restricts the assessments table to that population and shows a filter badge</w:t>
      </w:r>
      <w:r>
        <w:t xml:space="preserve"> </w:t>
      </w:r>
      <w:r>
        <w:t xml:space="preserve">next to the table title.</w:t>
      </w:r>
      <w:r>
        <w:t xml:space="preserve"> </w:t>
      </w:r>
      <w:r>
        <w:rPr>
          <w:bCs/>
          <w:b/>
        </w:rPr>
        <w:t xml:space="preserve">✕ Clear filter</w:t>
      </w:r>
      <w:r>
        <w:t xml:space="preserve"> </w:t>
      </w:r>
      <w:r>
        <w:t xml:space="preserve">removes it.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05-kpi-cards.png</w:t>
      </w:r>
      <w:r>
        <w:t xml:space="preserve"> </w:t>
      </w:r>
      <w:r>
        <w:t xml:space="preserve">The KPI row with one filter card active (e.g. Critical) and the filter badge visible on the</w:t>
      </w:r>
      <w:r>
        <w:t xml:space="preserve"> </w:t>
      </w:r>
      <w:r>
        <w:t xml:space="preserve">table header.</w:t>
      </w:r>
    </w:p>
    <w:bookmarkEnd w:id="32"/>
    <w:bookmarkStart w:id="33" w:name="charts"/>
    <w:p>
      <w:pPr>
        <w:pStyle w:val="Heading3"/>
      </w:pPr>
      <w:r>
        <w:t xml:space="preserve">4.2 Charts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Readiness Distribution</w:t>
      </w:r>
      <w:r>
        <w:t xml:space="preserve"> </w:t>
      </w:r>
      <w:r>
        <w:t xml:space="preserve">— doughnut of Critical / Weak / Moderate / Ready / No TLS.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TLS Version Coverage</w:t>
      </w:r>
      <w:r>
        <w:t xml:space="preserve"> </w:t>
      </w:r>
      <w:r>
        <w:t xml:space="preserve">— how many of your domains serve each TLS version.</w:t>
      </w:r>
    </w:p>
    <w:bookmarkEnd w:id="33"/>
    <w:bookmarkStart w:id="34" w:name="domain-assessments-table"/>
    <w:p>
      <w:pPr>
        <w:pStyle w:val="Heading3"/>
      </w:pPr>
      <w:r>
        <w:t xml:space="preserve">4.3 Domain Assessments table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bCs/>
          <w:b/>
        </w:rPr>
        <w:t xml:space="preserve">Domain · Score · Level · TLS · Key · PQC · Findings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Domain</w:t>
      </w:r>
      <w:r>
        <w:t xml:space="preserve"> </w:t>
      </w:r>
      <w:r>
        <w:t xml:space="preserve">is a link that opens the detail panel.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</w:t>
      </w:r>
      <w:r>
        <w:t xml:space="preserve"> </w:t>
      </w:r>
      <w:r>
        <w:t xml:space="preserve">is the certificate key type (e.g. </w:t>
      </w:r>
      <w:r>
        <w:rPr>
          <w:rStyle w:val="VerbatimChar"/>
        </w:rPr>
        <w:t xml:space="preserve">RSA-2048</w:t>
      </w:r>
      <w:r>
        <w:t xml:space="preserve">,</w:t>
      </w:r>
      <w:r>
        <w:t xml:space="preserve"> </w:t>
      </w:r>
      <w:r>
        <w:rPr>
          <w:rStyle w:val="VerbatimChar"/>
        </w:rPr>
        <w:t xml:space="preserve">EC-P256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PQC</w:t>
      </w:r>
      <w:r>
        <w:t xml:space="preserve"> </w:t>
      </w:r>
      <w:r>
        <w:t xml:space="preserve">shows a</w:t>
      </w:r>
      <w:r>
        <w:t xml:space="preserve"> </w:t>
      </w:r>
      <w:r>
        <w:rPr>
          <w:rStyle w:val="VerbatimChar"/>
        </w:rPr>
        <w:t xml:space="preserve">✓ PQC</w:t>
      </w:r>
      <w:r>
        <w:t xml:space="preserve"> </w:t>
      </w:r>
      <w:r>
        <w:t xml:space="preserve">pill when a post-quantum group is offered.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Findings</w:t>
      </w:r>
      <w:r>
        <w:t xml:space="preserve"> </w:t>
      </w:r>
      <w:r>
        <w:t xml:space="preserve">shows counts of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findings, or a green tick when there are none.</w:t>
      </w:r>
    </w:p>
    <w:p>
      <w:pPr>
        <w:numPr>
          <w:ilvl w:val="0"/>
          <w:numId w:val="1005"/>
        </w:numPr>
        <w:pStyle w:val="Compact"/>
      </w:pPr>
      <w:r>
        <w:t xml:space="preserve">Sort by clicking</w:t>
      </w:r>
      <w:r>
        <w:t xml:space="preserve"> </w:t>
      </w:r>
      <w:r>
        <w:rPr>
          <w:bCs/>
          <w:b/>
        </w:rPr>
        <w:t xml:space="preserve">Domain, Score, Level, Key, PQC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Findings</w:t>
      </w:r>
      <w:r>
        <w:t xml:space="preserve">. Default sort is Score</w:t>
      </w:r>
      <w:r>
        <w:t xml:space="preserve"> </w:t>
      </w:r>
      <w:r>
        <w:t xml:space="preserve">ascending, i.e. worst first.</w:t>
      </w:r>
    </w:p>
    <w:p>
      <w:pPr>
        <w:numPr>
          <w:ilvl w:val="0"/>
          <w:numId w:val="1005"/>
        </w:numPr>
        <w:pStyle w:val="Compact"/>
      </w:pPr>
      <w:r>
        <w:t xml:space="preserve">Three dropdown filters stack with the card filters:</w:t>
      </w:r>
      <w:r>
        <w:t xml:space="preserve"> </w:t>
      </w:r>
      <w:r>
        <w:rPr>
          <w:bCs/>
          <w:b/>
        </w:rPr>
        <w:t xml:space="preserve">All Organisations</w:t>
      </w:r>
      <w:r>
        <w:t xml:space="preserve">,</w:t>
      </w:r>
      <w:r>
        <w:t xml:space="preserve"> </w:t>
      </w:r>
      <w:r>
        <w:rPr>
          <w:bCs/>
          <w:b/>
        </w:rPr>
        <w:t xml:space="preserve">All Regions</w:t>
      </w:r>
      <w:r>
        <w:t xml:space="preserve">,</w:t>
      </w:r>
      <w:r>
        <w:t xml:space="preserve"> </w:t>
      </w:r>
      <w:r>
        <w:rPr>
          <w:bCs/>
          <w:b/>
        </w:rPr>
        <w:t xml:space="preserve">All Countries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↻ Refresh</w:t>
      </w:r>
      <w:r>
        <w:t xml:space="preserve"> </w:t>
      </w:r>
      <w:r>
        <w:t xml:space="preserve">re-fetches the latest assessment per domain.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06-assessments-table.png</w:t>
      </w:r>
      <w:r>
        <w:t xml:space="preserve"> </w:t>
      </w:r>
      <w:r>
        <w:t xml:space="preserve">The table with the organisation/region/country dropdowns visible and a mix of levels in the rows.</w:t>
      </w:r>
    </w:p>
    <w:bookmarkEnd w:id="34"/>
    <w:bookmarkStart w:id="35" w:name="domain-detail-panel"/>
    <w:p>
      <w:pPr>
        <w:pStyle w:val="Heading3"/>
      </w:pPr>
      <w:r>
        <w:t xml:space="preserve">4.4 Domain detail panel</w:t>
      </w:r>
    </w:p>
    <w:p>
      <w:pPr>
        <w:pStyle w:val="FirstParagraph"/>
      </w:pPr>
      <w:r>
        <w:t xml:space="preserve">Clicking a domain opens a panel below the table.</w:t>
      </w:r>
    </w:p>
    <w:p>
      <w:pPr>
        <w:pStyle w:val="BodyText"/>
      </w:pPr>
      <w:r>
        <w:t xml:space="preserve">Left side: the score in large type, coloured by level, with the level name (or</w:t>
      </w:r>
      <w:r>
        <w:t xml:space="preserve"> </w:t>
      </w:r>
      <w:r>
        <w:t xml:space="preserve">“</w:t>
      </w:r>
      <w:r>
        <w:t xml:space="preserve">No TLS Service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Right side: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TLS</w:t>
      </w:r>
      <w:r>
        <w:t xml:space="preserve"> </w:t>
      </w:r>
      <w:r>
        <w:t xml:space="preserve">— protocol versions found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TLS ports</w:t>
      </w:r>
      <w:r>
        <w:t xml:space="preserve"> </w:t>
      </w:r>
      <w:r>
        <w:t xml:space="preserve">— each TCP port serving TLS, with the detected service and version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Ciphers accepted</w:t>
      </w:r>
      <w:r>
        <w:t xml:space="preserve"> </w:t>
      </w:r>
      <w:r>
        <w:t xml:space="preserve">— total count, broken down into recommended / acceptable / deprecated /</w:t>
      </w:r>
      <w:r>
        <w:t xml:space="preserve"> </w:t>
      </w:r>
      <w:r>
        <w:t xml:space="preserve">disallowed. If cipher enumeration data is absent, the first few negotiated suites are shown</w:t>
      </w:r>
      <w:r>
        <w:t xml:space="preserve"> </w:t>
      </w:r>
      <w:r>
        <w:t xml:space="preserve">instead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PQC</w:t>
      </w:r>
      <w:r>
        <w:t xml:space="preserve"> </w:t>
      </w:r>
      <w:r>
        <w:t xml:space="preserve">— Detected / Not detected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Cert expires</w:t>
      </w:r>
      <w:r>
        <w:t xml:space="preserve"> </w:t>
      </w:r>
      <w:r>
        <w:t xml:space="preserve">— days remaining, red under 30 days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SSL Labs</w:t>
      </w:r>
      <w:r>
        <w:t xml:space="preserve"> </w:t>
      </w:r>
      <w:r>
        <w:t xml:space="preserve">— cached Qualys grade with a link to the full report on ssllabs.com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 TLS Details →</w:t>
      </w:r>
      <w:r>
        <w:t xml:space="preserve"> </w:t>
      </w:r>
      <w:r>
        <w:t xml:space="preserve">button</w:t>
      </w:r>
    </w:p>
    <w:p>
      <w:pPr>
        <w:pStyle w:val="BodyText"/>
      </w:pPr>
      <w:r>
        <w:t xml:space="preserve">Below: the complete findings list, each with severity, category, message, recommendation and</w:t>
      </w:r>
      <w:r>
        <w:t xml:space="preserve"> </w:t>
      </w:r>
      <w:r>
        <w:t xml:space="preserve">originating guideline.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07-domain-detail.png</w:t>
      </w:r>
      <w:r>
        <w:t xml:space="preserve"> </w:t>
      </w:r>
      <w:r>
        <w:t xml:space="preserve">Detail panel for a domain with several findings of mixed severity.</w:t>
      </w:r>
    </w:p>
    <w:bookmarkEnd w:id="35"/>
    <w:bookmarkStart w:id="36" w:name="full-tls-details-drill-down"/>
    <w:p>
      <w:pPr>
        <w:pStyle w:val="Heading3"/>
      </w:pPr>
      <w:r>
        <w:t xml:space="preserve">4.5 Full TLS Details (drill-down)</w:t>
      </w:r>
    </w:p>
    <w:p>
      <w:pPr>
        <w:pStyle w:val="FirstParagraph"/>
      </w:pPr>
      <w:r>
        <w:t xml:space="preserve">Reached from the detail panel.</w:t>
      </w:r>
      <w:r>
        <w:t xml:space="preserve"> </w:t>
      </w:r>
      <w:r>
        <w:rPr>
          <w:bCs/>
          <w:b/>
        </w:rPr>
        <w:t xml:space="preserve">← Back</w:t>
      </w:r>
      <w:r>
        <w:t xml:space="preserve"> </w:t>
      </w:r>
      <w:r>
        <w:t xml:space="preserve">returns to the dashboard.</w:t>
      </w:r>
    </w:p>
    <w:p>
      <w:pPr>
        <w:pStyle w:val="BodyText"/>
      </w:pPr>
      <w:r>
        <w:t xml:space="preserve">Contents: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TLS protocols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TLS-serving ports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Key-exchange groups</w:t>
      </w:r>
      <w:r>
        <w:t xml:space="preserve"> </w:t>
      </w:r>
      <w:r>
        <w:t xml:space="preserve">offered by the server, in server order. Post-quantum groups are</w:t>
      </w:r>
      <w:r>
        <w:t xml:space="preserve"> </w:t>
      </w:r>
      <w:r>
        <w:t xml:space="preserve">highlighted in violet and bordered. A line below states whether PQC key exchange is offered and</w:t>
      </w:r>
      <w:r>
        <w:t xml:space="preserve"> </w:t>
      </w:r>
      <w:r>
        <w:t xml:space="preserve">whether it is hybrid.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Accepted cipher suites</w:t>
      </w:r>
      <w:r>
        <w:t xml:space="preserve"> </w:t>
      </w:r>
      <w:r>
        <w:t xml:space="preserve">— a table of IANA name, protocol, bits, category and assessment</w:t>
      </w:r>
      <w:r>
        <w:t xml:space="preserve"> </w:t>
      </w:r>
      <w:r>
        <w:t xml:space="preserve">(RECOMMENDED / ACCEPTABLE / DEPRECATED / DISALLOWED), sorted worst-assessment-last. A footnote</w:t>
      </w:r>
      <w:r>
        <w:t xml:space="preserve"> </w:t>
      </w:r>
      <w:r>
        <w:t xml:space="preserve">gives the enumeration timestamp, TLS 1.3/1.2 support, and warns that enumeration probes a</w:t>
      </w:r>
      <w:r>
        <w:t xml:space="preserve"> </w:t>
      </w:r>
      <w:r>
        <w:t xml:space="preserve">curated suite list — very rare suites may not be covered.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Certificate chain</w:t>
      </w:r>
      <w:r>
        <w:t xml:space="preserve"> </w:t>
      </w:r>
      <w:r>
        <w:t xml:space="preserve">— chain length, completeness, root CA.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Qualys SSL Labs</w:t>
      </w:r>
      <w:r>
        <w:t xml:space="preserve"> </w:t>
      </w:r>
      <w:r>
        <w:t xml:space="preserve">— grade, per-endpoint IP grades and warning flags, assessment time, engine</w:t>
      </w:r>
      <w:r>
        <w:t xml:space="preserve"> </w:t>
      </w:r>
      <w:r>
        <w:t xml:space="preserve">and criteria versions. The grade is</w:t>
      </w:r>
      <w:r>
        <w:t xml:space="preserve"> </w:t>
      </w:r>
      <w:r>
        <w:rPr>
          <w:bCs/>
          <w:b/>
        </w:rPr>
        <w:t xml:space="preserve">informational only and does not affect the PQC score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Request fresh SSL Labs assessment</w:t>
      </w:r>
      <w:r>
        <w:t xml:space="preserve">”</w:t>
      </w:r>
      <w:r>
        <w:t xml:space="preserve"> </w:t>
      </w:r>
      <w:r>
        <w:t xml:space="preserve">button is admin-only; as an analyst you see the cached</w:t>
      </w:r>
      <w:r>
        <w:t xml:space="preserve"> </w:t>
      </w:r>
      <w:r>
        <w:t xml:space="preserve">result and the link to ssllabs.com.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08-full-tls-details.png</w:t>
      </w:r>
      <w:r>
        <w:t xml:space="preserve"> </w:t>
      </w:r>
      <w:r>
        <w:t xml:space="preserve">Full TLS Details for a domain that offers a hybrid PQC group, with the cipher table and SSL Labs</w:t>
      </w:r>
      <w:r>
        <w:t xml:space="preserve"> </w:t>
      </w:r>
      <w:r>
        <w:t xml:space="preserve">panel visible.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group-report-community-managers"/>
    <w:p>
      <w:pPr>
        <w:pStyle w:val="Heading2"/>
      </w:pPr>
      <w:r>
        <w:t xml:space="preserve">5. Group Report (Community Managers)</w:t>
      </w:r>
    </w:p>
    <w:p>
      <w:pPr>
        <w:pStyle w:val="FirstParagraph"/>
      </w:pPr>
      <w:r>
        <w:t xml:space="preserve">Aggregate readiness across a set of organisations. Visible only to</w:t>
      </w:r>
      <w:r>
        <w:t xml:space="preserve"> </w:t>
      </w:r>
      <w:r>
        <w:rPr>
          <w:rStyle w:val="VerbatimChar"/>
        </w:rPr>
        <w:t xml:space="preserve">community_manager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Controls (top row):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View by</w:t>
      </w:r>
      <w:r>
        <w:t xml:space="preserve"> </w:t>
      </w:r>
      <w:r>
        <w:t xml:space="preserve">— Community, Region or Country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Group selector</w:t>
      </w:r>
      <w:r>
        <w:t xml:space="preserve"> </w:t>
      </w:r>
      <w:r>
        <w:t xml:space="preserve">— the specific community / region / country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Country filter</w:t>
      </w:r>
      <w:r>
        <w:t xml:space="preserve"> </w:t>
      </w:r>
      <w:r>
        <w:t xml:space="preserve">— appears only when the loaded group spans more than one country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⬇ CSV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⬇ PDF</w:t>
      </w:r>
      <w:r>
        <w:t xml:space="preserve"> </w:t>
      </w:r>
      <w:r>
        <w:t xml:space="preserve">— enabled once a report is loaded</w:t>
      </w:r>
    </w:p>
    <w:p>
      <w:pPr>
        <w:pStyle w:val="FirstParagraph"/>
      </w:pPr>
      <w:r>
        <w:rPr>
          <w:bCs/>
          <w:b/>
        </w:rPr>
        <w:t xml:space="preserve">Executive summary</w:t>
      </w:r>
      <w:r>
        <w:t xml:space="preserve"> </w:t>
      </w:r>
      <w:r>
        <w:t xml:space="preserve">— a short generated paragraph above the charts.</w:t>
      </w:r>
    </w:p>
    <w:p>
      <w:pPr>
        <w:pStyle w:val="BodyText"/>
      </w:pPr>
      <w:r>
        <w:rPr>
          <w:bCs/>
          <w:b/>
        </w:rPr>
        <w:t xml:space="preserve">Charts</w:t>
      </w:r>
      <w:r>
        <w:t xml:space="preserve"> </w:t>
      </w:r>
      <w:r>
        <w:t xml:space="preserve">— a readiness-distribution donut and a score-by-organisation bar chart.</w:t>
      </w:r>
    </w:p>
    <w:p>
      <w:pPr>
        <w:pStyle w:val="BodyText"/>
      </w:pPr>
      <w:r>
        <w:rPr>
          <w:bCs/>
          <w:b/>
        </w:rPr>
        <w:t xml:space="preserve">Table</w:t>
      </w:r>
      <w:r>
        <w:t xml:space="preserve"> </w:t>
      </w:r>
      <w:r>
        <w:t xml:space="preserve">— one row per organisation: Organisation, CC (country code), Sector, Domains, Score,</w:t>
      </w:r>
      <w:r>
        <w:t xml:space="preserve"> </w:t>
      </w:r>
      <w:r>
        <w:t xml:space="preserve">Level, and counts for Crit / Weak / Mod / Ready / NTLS / PQC. Every column except Sector is</w:t>
      </w:r>
      <w:r>
        <w:t xml:space="preserve"> </w:t>
      </w:r>
      <w:r>
        <w:t xml:space="preserve">sortable; click again to reverse.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09-group-report.png</w:t>
      </w:r>
      <w:r>
        <w:t xml:space="preserve"> </w:t>
      </w:r>
      <w:r>
        <w:t xml:space="preserve">Group Report loaded for a community: summary paragraph, donut, bar chart and table.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10-group-report-pdf.png</w:t>
      </w:r>
      <w:r>
        <w:t xml:space="preserve"> </w:t>
      </w:r>
      <w:r>
        <w:t xml:space="preserve">First page of the exported PDF.</w:t>
      </w:r>
    </w:p>
    <w:p>
      <w:r>
        <w:pict>
          <v:rect style="width:0;height:1.5pt" o:hralign="center" o:hrstd="t" o:hr="t"/>
        </w:pict>
      </w:r>
    </w:p>
    <w:bookmarkEnd w:id="38"/>
    <w:bookmarkStart w:id="39" w:name="trends"/>
    <w:p>
      <w:pPr>
        <w:pStyle w:val="Heading2"/>
      </w:pPr>
      <w:r>
        <w:t xml:space="preserve">6. Trends</w:t>
      </w:r>
    </w:p>
    <w:p>
      <w:pPr>
        <w:pStyle w:val="FirstParagraph"/>
      </w:pPr>
      <w:r>
        <w:t xml:space="preserve">Longitudinal view. Requires at least two scan runs; with fewer, the charts show a prompt instead.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Score Trend Over Time</w:t>
      </w:r>
      <w:r>
        <w:t xml:space="preserve"> </w:t>
      </w:r>
      <w:r>
        <w:t xml:space="preserve">— average score per scan run.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Readiness Level Changes</w:t>
      </w:r>
      <w:r>
        <w:t xml:space="preserve"> </w:t>
      </w:r>
      <w:r>
        <w:t xml:space="preserve">— stacked bars showing how the level population moved between runs.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PQC Adoption Rate</w:t>
      </w:r>
      <w:r>
        <w:t xml:space="preserve"> </w:t>
      </w:r>
      <w:r>
        <w:t xml:space="preserve">— percentage of domains offering PQC over time.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Per-Domain Score History</w:t>
      </w:r>
      <w:r>
        <w:t xml:space="preserve"> </w:t>
      </w:r>
      <w:r>
        <w:t xml:space="preserve">— pick any visible domain from the dropdown for its own score</w:t>
      </w:r>
      <w:r>
        <w:t xml:space="preserve"> </w:t>
      </w:r>
      <w:r>
        <w:t xml:space="preserve">timeline. Useful for evidencing that a remediation actually landed.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Periodic Scan Schedules</w:t>
      </w:r>
      <w:r>
        <w:t xml:space="preserve"> </w:t>
      </w:r>
      <w:r>
        <w:t xml:space="preserve">— read-only list of configured recurring scans and their intervals.</w:t>
      </w:r>
      <w:r>
        <w:t xml:space="preserve"> </w:t>
      </w:r>
      <w:r>
        <w:t xml:space="preserve">Schedules are created by administrators from the CLI. Domains with level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are deliberately</w:t>
      </w:r>
      <w:r>
        <w:t xml:space="preserve"> </w:t>
      </w:r>
      <w:r>
        <w:t xml:space="preserve">excluded from auto-scheduling.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11-trends.png</w:t>
      </w:r>
      <w:r>
        <w:t xml:space="preserve"> </w:t>
      </w:r>
      <w:r>
        <w:t xml:space="preserve">Trends view with the score trend line and both secondary charts populated.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12-domain-history.png</w:t>
      </w:r>
      <w:r>
        <w:t xml:space="preserve"> </w:t>
      </w:r>
      <w:r>
        <w:t xml:space="preserve">Per-Domain Score History for a domain that improved across runs.</w:t>
      </w:r>
    </w:p>
    <w:p>
      <w:r>
        <w:pict>
          <v:rect style="width:0;height:1.5pt" o:hralign="center" o:hrstd="t" o:hr="t"/>
        </w:pict>
      </w:r>
    </w:p>
    <w:bookmarkEnd w:id="39"/>
    <w:bookmarkStart w:id="40" w:name="ct-monitor"/>
    <w:p>
      <w:pPr>
        <w:pStyle w:val="Heading2"/>
      </w:pPr>
      <w:r>
        <w:t xml:space="preserve">7. CT Monitor</w:t>
      </w:r>
    </w:p>
    <w:p>
      <w:pPr>
        <w:pStyle w:val="FirstParagraph"/>
      </w:pPr>
      <w:r>
        <w:t xml:space="preserve">Passive analysis of Certificate Transparency logs (source: crt.sh) for monitored domains. No active</w:t>
      </w:r>
      <w:r>
        <w:t xml:space="preserve"> </w:t>
      </w:r>
      <w:r>
        <w:t xml:space="preserve">scanning is involved. PQC and hybrid certificates are identified by OID classification.</w:t>
      </w:r>
    </w:p>
    <w:p>
      <w:pPr>
        <w:pStyle w:val="BodyText"/>
      </w:pPr>
      <w:r>
        <w:rPr>
          <w:bCs/>
          <w:b/>
        </w:rPr>
        <w:t xml:space="preserve">KPI cards:</w:t>
      </w:r>
      <w:r>
        <w:t xml:space="preserve"> </w:t>
      </w:r>
      <w:r>
        <w:t xml:space="preserve">Domains Monitored · Total Certs · PQC Certs Found · Hybrid Certs · Domains with PQC.</w:t>
      </w:r>
    </w:p>
    <w:p>
      <w:pPr>
        <w:pStyle w:val="BodyText"/>
      </w:pPr>
      <w:r>
        <w:rPr>
          <w:bCs/>
          <w:b/>
        </w:rPr>
        <w:t xml:space="preserve">Charts:</w:t>
      </w:r>
      <w:r>
        <w:t xml:space="preserve"> </w:t>
      </w:r>
      <w:r>
        <w:t xml:space="preserve">PQC Certificate Timeline and PQC Algorithm Distribution.</w:t>
      </w:r>
    </w:p>
    <w:p>
      <w:pPr>
        <w:pStyle w:val="BodyText"/>
      </w:pPr>
      <w:r>
        <w:rPr>
          <w:bCs/>
          <w:b/>
        </w:rPr>
        <w:t xml:space="preserve">Domain CT Summary table:</w:t>
      </w:r>
      <w:r>
        <w:t xml:space="preserve"> </w:t>
      </w:r>
      <w:r>
        <w:t xml:space="preserve">Domain, Queried (last query time), Total Certs, PQC Certs, Hybrid,</w:t>
      </w:r>
      <w:r>
        <w:t xml:space="preserve"> </w:t>
      </w:r>
      <w:r>
        <w:t xml:space="preserve">Algorithms, Issuers.</w:t>
      </w:r>
    </w:p>
    <w:p>
      <w:pPr>
        <w:pStyle w:val="BodyText"/>
      </w:pPr>
      <w:r>
        <w:rPr>
          <w:bCs/>
          <w:b/>
        </w:rPr>
        <w:t xml:space="preserve">PQC &amp; Hybrid Certificates Detected:</w:t>
      </w:r>
      <w:r>
        <w:t xml:space="preserve"> </w:t>
      </w:r>
      <w:r>
        <w:t xml:space="preserve">Domain, Subject CN, Issuer, Signature Algorithm, PQC</w:t>
      </w:r>
      <w:r>
        <w:t xml:space="preserve"> </w:t>
      </w:r>
      <w:r>
        <w:t xml:space="preserve">Algorithms, Type, Not Before, Expiry.</w:t>
      </w:r>
    </w:p>
    <w:p>
      <w:pPr>
        <w:pStyle w:val="BodyText"/>
      </w:pPr>
      <w:r>
        <w:rPr>
          <w:bCs/>
          <w:b/>
        </w:rPr>
        <w:t xml:space="preserve">PQC OID Registry:</w:t>
      </w:r>
      <w:r>
        <w:t xml:space="preserve"> </w:t>
      </w:r>
      <w:r>
        <w:t xml:space="preserve">the OIDs the tool watches, with algorithm, type and standard — ML-DSA-44/65/87</w:t>
      </w:r>
      <w:r>
        <w:t xml:space="preserve"> </w:t>
      </w:r>
      <w:r>
        <w:t xml:space="preserve">(FIPS 204), ML-KEM-768 (FIPS 203), Falcon-512/1024 (NIST Round 3), SLH-DSA-SHA2-128s (FIPS 205),</w:t>
      </w:r>
      <w:r>
        <w:t xml:space="preserve"> </w:t>
      </w:r>
      <w:r>
        <w:t xml:space="preserve">and Composite-ML-DSA (draft-ounsworth). The</w:t>
      </w:r>
      <w:r>
        <w:t xml:space="preserve"> </w:t>
      </w:r>
      <w:r>
        <w:rPr>
          <w:rStyle w:val="VerbatimChar"/>
        </w:rPr>
        <w:t xml:space="preserve">1.3.9999.*</w:t>
      </w:r>
      <w:r>
        <w:t xml:space="preserve"> </w:t>
      </w:r>
      <w:r>
        <w:t xml:space="preserve">prefix is experimental and used in</w:t>
      </w:r>
      <w:r>
        <w:t xml:space="preserve"> </w:t>
      </w:r>
      <w:r>
        <w:t xml:space="preserve">pre-standard deployments, so hits there indicate a test or pilot certificate rather than a</w:t>
      </w:r>
      <w:r>
        <w:t xml:space="preserve"> </w:t>
      </w:r>
      <w:r>
        <w:t xml:space="preserve">production PQC rollout.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Run CT Monitor</w:t>
      </w:r>
      <w:r>
        <w:t xml:space="preserve"> </w:t>
      </w:r>
      <w:r>
        <w:t xml:space="preserve">panel is admin-only; analysts see stored results and can refresh the tables.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13-ct-monitor.png</w:t>
      </w:r>
      <w:r>
        <w:t xml:space="preserve"> </w:t>
      </w:r>
      <w:r>
        <w:t xml:space="preserve">CT Monitor view: KPI cards, timeline chart and Domain CT Summary table.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14-ct-pqc-certs.png</w:t>
      </w:r>
      <w:r>
        <w:t xml:space="preserve"> </w:t>
      </w:r>
      <w:r>
        <w:t xml:space="preserve">The PQC &amp; Hybrid Certificates Detected table with at least one row.</w:t>
      </w:r>
    </w:p>
    <w:p>
      <w:r>
        <w:pict>
          <v:rect style="width:0;height:1.5pt" o:hralign="center" o:hrstd="t" o:hr="t"/>
        </w:pict>
      </w:r>
    </w:p>
    <w:bookmarkEnd w:id="40"/>
    <w:bookmarkStart w:id="41" w:name="roadmap"/>
    <w:p>
      <w:pPr>
        <w:pStyle w:val="Heading2"/>
      </w:pPr>
      <w:r>
        <w:t xml:space="preserve">8. Roadmap</w:t>
      </w:r>
    </w:p>
    <w:p>
      <w:pPr>
        <w:pStyle w:val="FirstParagraph"/>
      </w:pPr>
      <w:r>
        <w:t xml:space="preserve">A phased migration plan derived from existing scan data — no additional scanning. Generation is</w:t>
      </w:r>
      <w:r>
        <w:t xml:space="preserve"> </w:t>
      </w:r>
      <w:r>
        <w:t xml:space="preserve">admin-triggered; analysts consume the generated plans.</w:t>
      </w:r>
    </w:p>
    <w:p>
      <w:pPr>
        <w:pStyle w:val="BodyText"/>
      </w:pPr>
      <w:r>
        <w:rPr>
          <w:bCs/>
          <w:b/>
        </w:rPr>
        <w:t xml:space="preserve">KPI cards:</w:t>
      </w:r>
      <w:r>
        <w:t xml:space="preserve"> </w:t>
      </w:r>
      <w:r>
        <w:t xml:space="preserve">Domains with Roadmap · Phase 1 Actions · Phase 2 Actions · Phase 3 (PQC) Actions ·</w:t>
      </w:r>
      <w:r>
        <w:t xml:space="preserve"> </w:t>
      </w:r>
      <w:r>
        <w:t xml:space="preserve">Est. Effort Range.</w:t>
      </w:r>
    </w:p>
    <w:p>
      <w:pPr>
        <w:pStyle w:val="BodyText"/>
      </w:pPr>
      <w:r>
        <w:rPr>
          <w:bCs/>
          <w:b/>
        </w:rPr>
        <w:t xml:space="preserve">Charts:</w:t>
      </w:r>
      <w:r>
        <w:t xml:space="preserve"> </w:t>
      </w:r>
      <w:r>
        <w:t xml:space="preserve">Score Projection by Phase, and Effort Distribution in person-days.</w:t>
      </w:r>
    </w:p>
    <w:p>
      <w:pPr>
        <w:pStyle w:val="BodyText"/>
      </w:pPr>
      <w:r>
        <w:rPr>
          <w:bCs/>
          <w:b/>
        </w:rPr>
        <w:t xml:space="preserve">Domain Migration Plans table:</w:t>
      </w:r>
      <w:r>
        <w:t xml:space="preserve"> </w:t>
      </w:r>
      <w:r>
        <w:t xml:space="preserve">Domain, Score Now, → Phase 1, → Phase 2, → Phase 3, action counts</w:t>
      </w:r>
      <w:r>
        <w:t xml:space="preserve"> </w:t>
      </w:r>
      <w:r>
        <w:t xml:space="preserve">per phase, Effort, Est. Completion. The arrow columns are the projected score after each phase —</w:t>
      </w:r>
      <w:r>
        <w:t xml:space="preserve"> </w:t>
      </w:r>
      <w:r>
        <w:t xml:space="preserve">the practical argument for prioritisation. Click a row to open the action plan.</w:t>
      </w:r>
    </w:p>
    <w:p>
      <w:pPr>
        <w:pStyle w:val="BodyText"/>
      </w:pPr>
      <w:r>
        <w:rPr>
          <w:bCs/>
          <w:b/>
        </w:rPr>
        <w:t xml:space="preserve">Action Plan drawer:</w:t>
      </w:r>
      <w:r>
        <w:t xml:space="preserve"> </w:t>
      </w:r>
      <w:r>
        <w:t xml:space="preserve">three phase summary boxes (action count and person-day range), an optional</w:t>
      </w:r>
      <w:r>
        <w:t xml:space="preserve"> </w:t>
      </w:r>
      <w:r>
        <w:t xml:space="preserve">CDN note, then each action with:</w:t>
      </w:r>
    </w:p>
    <w:p>
      <w:pPr>
        <w:numPr>
          <w:ilvl w:val="0"/>
          <w:numId w:val="1009"/>
        </w:numPr>
        <w:pStyle w:val="Compact"/>
      </w:pPr>
      <w:r>
        <w:t xml:space="preserve">the action title and an effort badge (LOW/MEDIUM/HIGH plus a min–max day range)</w:t>
      </w:r>
    </w:p>
    <w:p>
      <w:pPr>
        <w:numPr>
          <w:ilvl w:val="0"/>
          <w:numId w:val="1009"/>
        </w:numPr>
        <w:pStyle w:val="Compact"/>
      </w:pPr>
      <w:r>
        <w:t xml:space="preserve">target date and guideline references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Now:</w:t>
      </w:r>
      <w:r>
        <w:t xml:space="preserve"> </w:t>
      </w:r>
      <w:r>
        <w:t xml:space="preserve">current state →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target state</w:t>
      </w:r>
    </w:p>
    <w:p>
      <w:pPr>
        <w:numPr>
          <w:ilvl w:val="0"/>
          <w:numId w:val="1009"/>
        </w:numPr>
        <w:pStyle w:val="Compact"/>
      </w:pPr>
      <w:r>
        <w:t xml:space="preserve">a detail paragraph</w:t>
      </w:r>
    </w:p>
    <w:p>
      <w:pPr>
        <w:pStyle w:val="BlockText"/>
      </w:pPr>
      <w:r>
        <w:t xml:space="preserve">A CDN note means the domain sits behind a CDN. The observed TLS posture is the CDN’s, not the</w:t>
      </w:r>
      <w:r>
        <w:t xml:space="preserve"> </w:t>
      </w:r>
      <w:r>
        <w:t xml:space="preserve">origin’s; remediation may be a provider setting rather than a server change, and the origin</w:t>
      </w:r>
      <w:r>
        <w:t xml:space="preserve"> </w:t>
      </w:r>
      <w:r>
        <w:t xml:space="preserve">should be assessed separately.</w:t>
      </w:r>
    </w:p>
    <w:p>
      <w:pPr>
        <w:pStyle w:val="FirstParagraph"/>
      </w:pPr>
      <w:r>
        <w:rPr>
          <w:bCs/>
          <w:b/>
        </w:rPr>
        <w:t xml:space="preserve">Phase reference: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→ 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broken crypto: TLS ≤1.1, RC4, DES, NULL, SHA-1 certs, RSA&lt;2048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non-compliant with NIST/BSI/CCN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→ 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TLS 1.3, ECDHE-only, RSA ≥ 3072, HSTS, CAA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BSI TR-02102-1: RSA ≥ 3000 bits from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→ 48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ML-KEM hybrid key exchange, plan ML-DSA cert migration, audit app-level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SP 800-131Ar3: PQC transition required by 2030</w:t>
            </w:r>
          </w:p>
        </w:tc>
      </w:tr>
    </w:tbl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15-roadmap-overview.png</w:t>
      </w:r>
      <w:r>
        <w:t xml:space="preserve"> </w:t>
      </w:r>
      <w:r>
        <w:t xml:space="preserve">Roadmap view: KPI cards, both charts and the Domain Migration Plans table.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16-roadmap-action-plan.png</w:t>
      </w:r>
      <w:r>
        <w:t xml:space="preserve"> </w:t>
      </w:r>
      <w:r>
        <w:t xml:space="preserve">Action Plan drawer for one domain, showing Phase 1 and Phase 2 items.</w:t>
      </w:r>
    </w:p>
    <w:p>
      <w:r>
        <w:pict>
          <v:rect style="width:0;height:1.5pt" o:hralign="center" o:hrstd="t" o:hr="t"/>
        </w:pict>
      </w:r>
    </w:p>
    <w:bookmarkEnd w:id="41"/>
    <w:bookmarkStart w:id="42" w:name="settings"/>
    <w:p>
      <w:pPr>
        <w:pStyle w:val="Heading2"/>
      </w:pPr>
      <w:r>
        <w:t xml:space="preserve">9. Settings</w:t>
      </w:r>
    </w:p>
    <w:p>
      <w:pPr>
        <w:pStyle w:val="FirstParagraph"/>
      </w:pPr>
      <w:r>
        <w:t xml:space="preserve">Reference information only — nothing here is editable by an analyst.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Guidelines in Use</w:t>
      </w:r>
      <w:r>
        <w:t xml:space="preserve"> </w:t>
      </w:r>
      <w:r>
        <w:t xml:space="preserve">— the three guideline sets, their versions, publication dates and source</w:t>
      </w:r>
      <w:r>
        <w:t xml:space="preserve"> </w:t>
      </w:r>
      <w:r>
        <w:t xml:space="preserve">links. Check this before quoting a finding in a report, so you cite the version actually applied.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PQC Readiness Score Guide</w:t>
      </w:r>
      <w:r>
        <w:t xml:space="preserve"> </w:t>
      </w:r>
      <w:r>
        <w:t xml:space="preserve">— the score/level table reproduced in §2.2.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About PQC-Monitor</w:t>
      </w:r>
      <w:r>
        <w:t xml:space="preserve"> </w:t>
      </w:r>
      <w:r>
        <w:t xml:space="preserve">— version, GPL-3.0 licence, AI-assisted development notice, and the</w:t>
      </w:r>
      <w:r>
        <w:t xml:space="preserve"> </w:t>
      </w:r>
      <w:r>
        <w:t xml:space="preserve">disclaimer that the tool is for research and informational purposes and that users are</w:t>
      </w:r>
      <w:r>
        <w:t xml:space="preserve"> </w:t>
      </w:r>
      <w:r>
        <w:t xml:space="preserve">responsible for having authorisation to scan target systems.</w:t>
      </w:r>
    </w:p>
    <w:p>
      <w:pPr>
        <w:pStyle w:val="BlockText"/>
      </w:pPr>
      <w:r>
        <w:rPr>
          <w:bCs/>
          <w:b/>
        </w:rPr>
        <w:t xml:space="preserve">SCREENSHOT PLACEHOLDER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17-settings.png</w:t>
      </w:r>
      <w:r>
        <w:t xml:space="preserve"> </w:t>
      </w:r>
      <w:r>
        <w:t xml:space="preserve">Settings view with all three panels.</w:t>
      </w:r>
    </w:p>
    <w:p>
      <w:r>
        <w:pict>
          <v:rect style="width:0;height:1.5pt" o:hralign="center" o:hrstd="t" o:hr="t"/>
        </w:pict>
      </w:r>
    </w:p>
    <w:bookmarkEnd w:id="42"/>
    <w:bookmarkStart w:id="43" w:name="exporting-data"/>
    <w:p>
      <w:pPr>
        <w:pStyle w:val="Heading2"/>
      </w:pPr>
      <w:r>
        <w:t xml:space="preserve">10. Exporting data</w:t>
      </w:r>
    </w:p>
    <w:p>
      <w:pPr>
        <w:pStyle w:val="FirstParagraph"/>
      </w:pPr>
      <w:r>
        <w:rPr>
          <w:bCs/>
          <w:b/>
        </w:rPr>
        <w:t xml:space="preserve">Group Report (Community Managers):</w:t>
      </w:r>
      <w:r>
        <w:t xml:space="preserve"> </w:t>
      </w:r>
      <w:r>
        <w:t xml:space="preserve">the ⬇ CSV and ⬇ PDF buttons on the Group Report toolbar</w:t>
      </w:r>
      <w:r>
        <w:t xml:space="preserve"> </w:t>
      </w:r>
      <w:r>
        <w:t xml:space="preserve">export the currently loaded and filtered group.</w:t>
      </w:r>
    </w:p>
    <w:p>
      <w:pPr>
        <w:pStyle w:val="BodyText"/>
      </w:pPr>
      <w:r>
        <w:rPr>
          <w:bCs/>
          <w:b/>
        </w:rPr>
        <w:t xml:space="preserve">Full assessment export (all roles with export permission):</w:t>
      </w:r>
      <w:r>
        <w:t xml:space="preserve"> </w:t>
      </w:r>
      <w:r>
        <w:t xml:space="preserve">the export panel lives in the</w:t>
      </w:r>
      <w:r>
        <w:t xml:space="preserve"> </w:t>
      </w:r>
      <w:r>
        <w:t xml:space="preserve">admin-only Scan view, but the endpoint itself is available to analysts. Request it directly from</w:t>
      </w:r>
      <w:r>
        <w:t xml:space="preserve"> </w:t>
      </w:r>
      <w:r>
        <w:t xml:space="preserve">the browser while signed in:</w:t>
      </w:r>
    </w:p>
    <w:p>
      <w:pPr>
        <w:pStyle w:val="SourceCode"/>
      </w:pPr>
      <w:r>
        <w:rPr>
          <w:rStyle w:val="VerbatimChar"/>
        </w:rPr>
        <w:t xml:space="preserve">/app/api/export?format=csv     # CSV — spreadsheet analysis</w:t>
      </w:r>
      <w:r>
        <w:br/>
      </w:r>
      <w:r>
        <w:rPr>
          <w:rStyle w:val="VerbatimChar"/>
        </w:rPr>
        <w:t xml:space="preserve">/app/api/export?format=json    # JSON — pipelines and further processing</w:t>
      </w:r>
      <w:r>
        <w:br/>
      </w:r>
      <w:r>
        <w:rPr>
          <w:rStyle w:val="VerbatimChar"/>
        </w:rPr>
        <w:t xml:space="preserve">/app/api/export?format=text    # Plain-text report — pasteable summary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&amp;run_id=&lt;id&gt;</w:t>
      </w:r>
      <w:r>
        <w:t xml:space="preserve"> </w:t>
      </w:r>
      <w:r>
        <w:t xml:space="preserve">to export a specific scan run; without it you get the latest assessment per</w:t>
      </w:r>
      <w:r>
        <w:t xml:space="preserve"> </w:t>
      </w:r>
      <w:r>
        <w:t xml:space="preserve">domain. Exports are scoped to your visible domains and are recorded in the audit log.</w:t>
      </w:r>
    </w:p>
    <w:p>
      <w:r>
        <w:pict>
          <v:rect style="width:0;height:1.5pt" o:hralign="center" o:hrstd="t" o:hr="t"/>
        </w:pict>
      </w:r>
    </w:p>
    <w:bookmarkEnd w:id="43"/>
    <w:bookmarkStart w:id="48" w:name="analyst-workflows"/>
    <w:p>
      <w:pPr>
        <w:pStyle w:val="Heading2"/>
      </w:pPr>
      <w:r>
        <w:t xml:space="preserve">11. Analyst workflows</w:t>
      </w:r>
    </w:p>
    <w:bookmarkStart w:id="44" w:name="weekly-posture-triage"/>
    <w:p>
      <w:pPr>
        <w:pStyle w:val="Heading3"/>
      </w:pPr>
      <w:r>
        <w:t xml:space="preserve">11.1 Weekly posture triage</w:t>
      </w:r>
    </w:p>
    <w:p>
      <w:pPr>
        <w:numPr>
          <w:ilvl w:val="0"/>
          <w:numId w:val="1011"/>
        </w:numPr>
        <w:pStyle w:val="Compact"/>
      </w:pPr>
      <w:r>
        <w:t xml:space="preserve">Dashboard → click the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card.</w:t>
      </w:r>
    </w:p>
    <w:p>
      <w:pPr>
        <w:numPr>
          <w:ilvl w:val="0"/>
          <w:numId w:val="1011"/>
        </w:numPr>
        <w:pStyle w:val="Compact"/>
      </w:pPr>
      <w:r>
        <w:t xml:space="preserve">Sort by</w:t>
      </w:r>
      <w:r>
        <w:t xml:space="preserve"> </w:t>
      </w:r>
      <w:r>
        <w:rPr>
          <w:bCs/>
          <w:b/>
        </w:rPr>
        <w:t xml:space="preserve">Score</w:t>
      </w:r>
      <w:r>
        <w:t xml:space="preserve"> </w:t>
      </w:r>
      <w:r>
        <w:t xml:space="preserve">ascending, work top-down.</w:t>
      </w:r>
    </w:p>
    <w:p>
      <w:pPr>
        <w:numPr>
          <w:ilvl w:val="0"/>
          <w:numId w:val="1011"/>
        </w:numPr>
        <w:pStyle w:val="Compact"/>
      </w:pPr>
      <w:r>
        <w:t xml:space="preserve">Open each domain, read the findings, note anything with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severity in the</w:t>
      </w:r>
      <w:r>
        <w:t xml:space="preserve"> </w:t>
      </w:r>
      <w:r>
        <w:rPr>
          <w:rStyle w:val="VerbatimChar"/>
        </w:rPr>
        <w:t xml:space="preserve">certificate</w:t>
      </w:r>
      <w:r>
        <w:t xml:space="preserve"> </w:t>
      </w:r>
      <w:r>
        <w:t xml:space="preserve">category — expired or near-expiry certificates are the fastest wins.</w:t>
      </w:r>
    </w:p>
    <w:p>
      <w:pPr>
        <w:numPr>
          <w:ilvl w:val="0"/>
          <w:numId w:val="1011"/>
        </w:numPr>
        <w:pStyle w:val="Compact"/>
      </w:pPr>
      <w:r>
        <w:t xml:space="preserve">Cross-check the Roadmap tab for the same domains: Phase 1 actions are already non-compliant</w:t>
      </w:r>
      <w:r>
        <w:t xml:space="preserve"> </w:t>
      </w:r>
      <w:r>
        <w:t xml:space="preserve">with current guidance and carry the strongest remediation argument.</w:t>
      </w:r>
    </w:p>
    <w:bookmarkEnd w:id="44"/>
    <w:bookmarkStart w:id="45" w:name="X668c503df2719d2fd426f82b597d1f7c30d4b1f"/>
    <w:p>
      <w:pPr>
        <w:pStyle w:val="Heading3"/>
      </w:pPr>
      <w:r>
        <w:t xml:space="preserve">11.2 Answering</w:t>
      </w:r>
      <w:r>
        <w:t xml:space="preserve"> </w:t>
      </w:r>
      <w:r>
        <w:t xml:space="preserve">“</w:t>
      </w:r>
      <w:r>
        <w:t xml:space="preserve">are we exposed to harvest-now-decrypt-later?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Dashboard →</w:t>
      </w:r>
      <w:r>
        <w:t xml:space="preserve"> </w:t>
      </w:r>
      <w:r>
        <w:rPr>
          <w:bCs/>
          <w:b/>
        </w:rPr>
        <w:t xml:space="preserve">PQC Detected</w:t>
      </w:r>
      <w:r>
        <w:t xml:space="preserve"> </w:t>
      </w:r>
      <w:r>
        <w:t xml:space="preserve">card to see the population that already offers PQC.</w:t>
      </w:r>
    </w:p>
    <w:p>
      <w:pPr>
        <w:numPr>
          <w:ilvl w:val="0"/>
          <w:numId w:val="1012"/>
        </w:numPr>
        <w:pStyle w:val="Compact"/>
      </w:pPr>
      <w:r>
        <w:t xml:space="preserve">Invert it mentally: everything else is exposed for the lifetime of the data in transit.</w:t>
      </w:r>
    </w:p>
    <w:p>
      <w:pPr>
        <w:numPr>
          <w:ilvl w:val="0"/>
          <w:numId w:val="1012"/>
        </w:numPr>
        <w:pStyle w:val="Compact"/>
      </w:pPr>
      <w:r>
        <w:t xml:space="preserve">For any individual domain, open</w:t>
      </w:r>
      <w:r>
        <w:t xml:space="preserve"> </w:t>
      </w:r>
      <w:r>
        <w:rPr>
          <w:bCs/>
          <w:b/>
        </w:rPr>
        <w:t xml:space="preserve">Full TLS Details</w:t>
      </w:r>
      <w:r>
        <w:t xml:space="preserve"> </w:t>
      </w:r>
      <w:r>
        <w:t xml:space="preserve">and read the offered key-exchange groups —</w:t>
      </w:r>
      <w:r>
        <w:t xml:space="preserve"> </w:t>
      </w:r>
      <w:r>
        <w:t xml:space="preserve">that is the authoritative evidence, not the negotiated result.</w:t>
      </w:r>
    </w:p>
    <w:p>
      <w:pPr>
        <w:numPr>
          <w:ilvl w:val="0"/>
          <w:numId w:val="1012"/>
        </w:numPr>
        <w:pStyle w:val="Compact"/>
      </w:pPr>
      <w:r>
        <w:t xml:space="preserve">Use CT Monitor to check whether PQC or hybrid certificates exist for the same domains.</w:t>
      </w:r>
    </w:p>
    <w:bookmarkEnd w:id="45"/>
    <w:bookmarkStart w:id="46" w:name="X821a4c1974c998adbadb6f80cbcffc1c413dfcb"/>
    <w:p>
      <w:pPr>
        <w:pStyle w:val="Heading3"/>
      </w:pPr>
      <w:r>
        <w:t xml:space="preserve">11.3 Building a remediation case for a business owner</w:t>
      </w:r>
    </w:p>
    <w:p>
      <w:pPr>
        <w:numPr>
          <w:ilvl w:val="0"/>
          <w:numId w:val="1013"/>
        </w:numPr>
        <w:pStyle w:val="Compact"/>
      </w:pPr>
      <w:r>
        <w:t xml:space="preserve">Roadmap → open the domain’s Action Plan.</w:t>
      </w:r>
    </w:p>
    <w:p>
      <w:pPr>
        <w:numPr>
          <w:ilvl w:val="0"/>
          <w:numId w:val="1013"/>
        </w:numPr>
        <w:pStyle w:val="Compact"/>
      </w:pPr>
      <w:r>
        <w:t xml:space="preserve">Take the Phase 1/2/3 effort ranges and the projected score after each phase.</w:t>
      </w:r>
    </w:p>
    <w:p>
      <w:pPr>
        <w:numPr>
          <w:ilvl w:val="0"/>
          <w:numId w:val="1013"/>
        </w:numPr>
        <w:pStyle w:val="Compact"/>
      </w:pPr>
      <w:r>
        <w:t xml:space="preserve">Pull the guideline references from the individual actions — they map directly to NIST/BSI/CCN</w:t>
      </w:r>
      <w:r>
        <w:t xml:space="preserve"> </w:t>
      </w:r>
      <w:r>
        <w:t xml:space="preserve">requirements.</w:t>
      </w:r>
    </w:p>
    <w:p>
      <w:pPr>
        <w:numPr>
          <w:ilvl w:val="0"/>
          <w:numId w:val="1013"/>
        </w:numPr>
        <w:pStyle w:val="Compact"/>
      </w:pPr>
      <w:r>
        <w:t xml:space="preserve">Add the Trends per-domain history as before/after evidence once work completes.</w:t>
      </w:r>
    </w:p>
    <w:bookmarkEnd w:id="46"/>
    <w:bookmarkStart w:id="47" w:name="reporting-on-a-community-or-region"/>
    <w:p>
      <w:pPr>
        <w:pStyle w:val="Heading3"/>
      </w:pPr>
      <w:r>
        <w:t xml:space="preserve">11.4 Reporting on a community or region</w:t>
      </w:r>
    </w:p>
    <w:p>
      <w:pPr>
        <w:numPr>
          <w:ilvl w:val="0"/>
          <w:numId w:val="1014"/>
        </w:numPr>
        <w:pStyle w:val="Compact"/>
      </w:pPr>
      <w:r>
        <w:t xml:space="preserve">Group Report → View by Community/Region/Country → select the group.</w:t>
      </w:r>
    </w:p>
    <w:p>
      <w:pPr>
        <w:numPr>
          <w:ilvl w:val="0"/>
          <w:numId w:val="1014"/>
        </w:numPr>
        <w:pStyle w:val="Compact"/>
      </w:pPr>
      <w:r>
        <w:t xml:space="preserve">Apply the country filter if the group spans several.</w:t>
      </w:r>
    </w:p>
    <w:p>
      <w:pPr>
        <w:numPr>
          <w:ilvl w:val="0"/>
          <w:numId w:val="1014"/>
        </w:numPr>
        <w:pStyle w:val="Compact"/>
      </w:pPr>
      <w:r>
        <w:t xml:space="preserve">Sort by Score ascending to lead with the weakest organisations, or by Crit to lead with the</w:t>
      </w:r>
      <w:r>
        <w:t xml:space="preserve"> </w:t>
      </w:r>
      <w:r>
        <w:t xml:space="preserve">most acute.</w:t>
      </w:r>
    </w:p>
    <w:p>
      <w:pPr>
        <w:numPr>
          <w:ilvl w:val="0"/>
          <w:numId w:val="1014"/>
        </w:numPr>
        <w:pStyle w:val="Compact"/>
      </w:pPr>
      <w:r>
        <w:t xml:space="preserve">Export PDF for distribution, CSV for your own analysis.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troubleshooting"/>
    <w:p>
      <w:pPr>
        <w:pStyle w:val="Heading2"/>
      </w:pPr>
      <w:r>
        <w:t xml:space="preserve">12.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 /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domains than a colleague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Domain-list scoping. Your KPIs are computed over your assigned lists only. Ask an admin to widen your assignment.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bCs/>
                <w:b/>
              </w:rPr>
              <w:t xml:space="preserve">Scan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Domain Discovery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Admin-only. Request scans through an administrator.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bCs/>
                <w:b/>
              </w:rPr>
              <w:t xml:space="preserve">Group Report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community_manager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scan data yet. Run a scan first.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assessments exist for your visible domains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Trends charts empty or showing a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than two scan runs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shows N/A / No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reachable TLS service. These are excluded from the average score and from auto-scheduling.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Cipher table missing,</w:t>
            </w:r>
            <w:r>
              <w:t xml:space="preserve"> </w:t>
            </w:r>
            <w:r>
              <w:t xml:space="preserve">“</w:t>
            </w:r>
            <w:r>
              <w:t xml:space="preserve">re-scan with cipher_enum enabled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stored record predates cipher enumeration. Request a re-scan.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 line reads</w:t>
            </w:r>
            <w:r>
              <w:t xml:space="preserve"> </w:t>
            </w:r>
            <w:r>
              <w:t xml:space="preserve">“</w:t>
            </w:r>
            <w:r>
              <w:t xml:space="preserve">negotiated-only check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 record graded before server-group enumeration existed. Lower confidence — request a re-scan.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 Labs shows</w:t>
            </w:r>
            <w:r>
              <w:t xml:space="preserve"> </w:t>
            </w:r>
            <w:r>
              <w:t xml:space="preserve">“</w:t>
            </w:r>
            <w:r>
              <w:t xml:space="preserve">no report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cached for that domain. Follow the ssllabs.com link, or ask an admin to request a fresh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 out unexpectedly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the 8-hour session expired, or a password change invalidated all your sessions.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failed logins triggers a 15-minute lockout. Wait it out or use password reset.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screenshot-index"/>
    <w:p>
      <w:pPr>
        <w:pStyle w:val="Heading2"/>
      </w:pPr>
      <w:r>
        <w:t xml:space="preserve">13. Screenshot index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01-landing-dashboard.png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immediately after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02-login.png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03-password-reset.png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04-header-nav.png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and analyst navigation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05-kpi-cards.png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row with an active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06-assessments-table.png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Assessments table and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07-domain-detail.png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detail panel with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08-full-tls-details.png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TLS Details drill-down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09-group-report.png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Report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10-group-report-pdf.png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Exported PDF, first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11-trends.png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Trends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12-domain-history.png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Per-domain score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13-ct-monitor.png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Monitor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14-ct-pqc-certs.png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PQC/hybrid certificates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15-roadmap-overview.png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16-roadmap-action-plan.png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Plan drawer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17-settings.png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view</w:t>
            </w:r>
          </w:p>
        </w:tc>
      </w:tr>
    </w:tbl>
    <w:p>
      <w:pPr>
        <w:pStyle w:val="BodyText"/>
      </w:pPr>
      <w:r>
        <w:t xml:space="preserve">Suggested location in the repository:</w:t>
      </w:r>
      <w:r>
        <w:t xml:space="preserve"> </w:t>
      </w:r>
      <w:r>
        <w:rPr>
          <w:rStyle w:val="VerbatimChar"/>
        </w:rPr>
        <w:t xml:space="preserve">docs/images/</w:t>
      </w:r>
      <w:r>
        <w:t xml:space="preserve">, referenced from</w:t>
      </w:r>
      <w:r>
        <w:t xml:space="preserve"> </w:t>
      </w:r>
      <w:r>
        <w:rPr>
          <w:rStyle w:val="VerbatimChar"/>
        </w:rPr>
        <w:t xml:space="preserve">docs/USER_MANUAL.md</w:t>
      </w:r>
      <w:r>
        <w:t xml:space="preserve">.</w:t>
      </w:r>
    </w:p>
    <w:bookmarkEnd w:id="50"/>
    <w:sectPr>
      <w:footerReference w:type="default" r:id="rId9"/>
      <w:pgSz w:w="11906" w:h="16838"/>
      <w:pgMar w:top="1418" w:right="1418" w:bottom="1418" w:left="1418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t xml:space="preserve">PQC-Monitor User Manual v1.11.0  |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updateFields w:val="true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PQC-Monitor — User Manual</dc:title>
  <dc:creator>PQC-Monitor Project · https://github.com/jfsp/pqc-monitor</dc:creator>
  <dc:language>en-GB</dc:language>
  <cp:keywords/>
  <dcterms:created xsi:type="dcterms:W3CDTF">2026-09-10T16:12:25Z</dcterms:created>
  <dcterms:modified xsi:type="dcterms:W3CDTF">2026-09-10T16:12:25Z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Analyst and Community Manager Guide · Version 1.11.0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