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558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1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Integrado Informática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2° ano informática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Felipe T. Paula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12/06/2019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Blink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 ()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pinMode(12,OUTPUT);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 ()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digitalWrite (12,HIGH);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delay (2000)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digitalWrite (12,LOW);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 (2000);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Cabo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Jumper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LED(Verde)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Resistor (ohm 220)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