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Independent, instant retrofit costing for Irish homes.</w:t>
      </w:r>
    </w:p>
    <w:p>
      <w:pPr>
        <w:spacing w:after="120"/>
      </w:pPr>
      <w:r>
        <w:t>PlanitBER turns a completed home survey into a clear, grant-netted, finance-ready budget in under two minutes — itemised in the format a quantity surveyor would use, and independent of any contractor.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used by BER assessors, One Stop Shops and homeowners.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that recognition (see </w:t>
      </w:r>
      <w:r>
        <w:rPr>
          <w:i/>
        </w:rPr>
        <w:t>Commercial basis, governance and risk</w:t>
      </w:r>
      <w:r>
        <w:t>).</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conversion from "interested" to "committed" breaks down at the budget question, and there is currently no trusted, independent answer to it.</w:t>
      </w:r>
    </w:p>
    <w:p>
      <w:pPr>
        <w:spacing w:after="120"/>
      </w:pPr>
      <w:r>
        <w:rPr>
          <w:b/>
          <w:color w:val="1E293B"/>
        </w:rPr>
        <w:t>With no reference point, a fair quote and an inflated one look identical.</w:t>
      </w:r>
    </w:p>
    <w:p>
      <w:pPr>
        <w:spacing w:after="120"/>
      </w:pPr>
      <w:r>
        <w:t>Homeowners approaching a retrofit have nothing to measure a price against, so suspicion attaches to every quote — including the great majority that are entirely fair. That costs honest contractors twice over: they lose work to competitors who appear cheaper only because items were quietly left out, and they spend unpaid hours pricing enquiries from homeowners whose budget expectations were never realistic. It costs the scheme too, because homeowners who suspect the grant simply becomes someone else's margin walk away, and the retrofit never happens at all. What is missing is not policing — it is a common reference point both sides can work from.</w:t>
      </w:r>
    </w:p>
    <w:p>
      <w:pPr>
        <w:spacing w:after="120"/>
      </w:pPr>
      <w:r>
        <w:rPr>
          <w:b/>
          <w:color w:val="1E293B"/>
        </w:rPr>
        <w:t>No bridge between assessment and action.</w:t>
      </w:r>
    </w:p>
    <w:p>
      <w:pPr>
        <w:spacing w:after="120"/>
      </w:pPr>
      <w:r>
        <w:t>An assessor visits,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it answers them</w:t>
      </w:r>
    </w:p>
    <w:p>
      <w:pPr>
        <w:spacing w:after="120"/>
      </w:pPr>
      <w:r>
        <w:t>PlanitBER builds an itemised, independent cost plan from survey geometry the assessor has already measured — floor, wall, roof and window areas, age band and heat loss indicator — against a measure list that mirrors SEAI's grant structure:</w:t>
      </w:r>
    </w:p>
    <w:p>
      <w:pPr>
        <w:pStyle w:val="ListBullet"/>
      </w:pPr>
      <w:r>
        <w:rPr>
          <w:b/>
          <w:color w:val="1E293B"/>
        </w:rPr>
        <w:t>Cost certainty.</w:t>
      </w:r>
      <w:r>
        <w:t xml:space="preserve"> An instant indicative budget, measure by measure, using county-adjusted labour rates and current Irish material pricing, with heat pump sizing derived from the Heat Loss Indicator (IS EN 12831). Every figure is fully loaded: contractor's overhead and profit at 12%, contingency at 10%, VAT at 13.5% (Solar PV at 0% per Revenue ruling).</w:t>
      </w:r>
    </w:p>
    <w:p>
      <w:pPr>
        <w:pStyle w:val="ListBullet"/>
      </w:pPr>
      <w:r>
        <w:rPr>
          <w:b/>
          <w:color w:val="1E293B"/>
        </w:rPr>
        <w:t>A common reference point.</w:t>
      </w:r>
      <w:r>
        <w:t xml:space="preserve"> Gross costs are set out independently of anyone selling the works, with SEAI grants deducted line by line and the net cost to the homeowner stated plainly. Both sides gain from that. The homeowner can see whether a quote is reasonable and what the grant is genuinely worth to them. The contractor prices a defined scope instead of a vague brief, competes against others pricing that same scope, and has a published rate basis to point to when a figure is queried. Comparable quotes reward the contractor who priced the job properly rather than the one who left most out.</w:t>
      </w:r>
    </w:p>
    <w:p>
      <w:pPr>
        <w:pStyle w:val="ListBullet"/>
      </w:pPr>
      <w:r>
        <w:rPr>
          <w:b/>
          <w:color w:val="1E293B"/>
        </w:rPr>
        <w:t>Assessment to action.</w:t>
      </w:r>
      <w:r>
        <w:t xml:space="preserve"> The assessor can produce the cost plan during the same visit and hand it over with the certificate, as the practical companion to the improvement advice they already give.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plus an actual-spend column for tracking works as they progress, and a short "how to use this document" note for homeowner, lender and contractor. Written to be readable by all three.</w:t>
      </w:r>
    </w:p>
    <w:p>
      <w:pPr>
        <w:spacing w:after="80"/>
        <w:ind w:left="454" w:hanging="454"/>
      </w:pPr>
      <w:r>
        <w:rPr>
          <w:b/>
          <w:color w:val="1E293B"/>
        </w:rPr>
        <w:t xml:space="preserve">2.  </w:t>
      </w:r>
      <w:r>
        <w:rPr>
          <w:b/>
          <w:color w:val="1E293B"/>
        </w:rPr>
        <w:t>Detailed Cost Plan</w:t>
      </w:r>
      <w:r>
        <w:t xml:space="preserve"> — the same table with the pricing basis for each measure, the full loading methodology (base cost → overhead, profit and contingency → VAT)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both Better Energy Homes and One Stop Shop at current rates, the SEAI-registered trades the project requires, and estimated-versus-actual cost tracking.</w:t>
      </w:r>
    </w:p>
    <w:p>
      <w:pPr>
        <w:spacing w:before="200" w:after="60"/>
      </w:pPr>
      <w:r>
        <w:rPr>
          <w:b/>
          <w:color w:val="1E293B"/>
          <w:sz w:val="24"/>
        </w:rPr>
        <w:t>Who uses it, and who benefits</w:t>
      </w:r>
    </w:p>
    <w:p>
      <w:pPr>
        <w:spacing w:after="120"/>
      </w:pPr>
      <w:r>
        <w:t xml:space="preserve">The cost plan is </w:t>
      </w:r>
      <w:r>
        <w:rPr>
          <w:b/>
          <w:color w:val="1E293B"/>
        </w:rPr>
        <w:t>created by the BER assessor or One Stop Shop</w:t>
      </w:r>
      <w:r>
        <w:t xml:space="preserve"> — the professionals who have already surveyed the home and hold the measurements. Everyone else receives and works from the document they produce.</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9746"/>
            <w:gridSpan w:val="2"/>
            <w:shd w:val="clear" w:color="auto" w:fill="1E293B"/>
          </w:tcPr>
          <w:p>
            <w:r>
              <w:rPr>
                <w:b/>
                <w:color w:val="FFFFFF"/>
                <w:sz w:val="17"/>
              </w:rPr>
              <w:t>CREATES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shd w:val="clear" w:color="auto" w:fill="FDF3E0"/>
          </w:tcPr>
          <w:p>
            <w:r>
              <w:rPr>
                <w:b/>
                <w:color w:val="1E293B"/>
                <w:sz w:val="19"/>
              </w:rPr>
              <w:t>One Stop Shops</w:t>
            </w:r>
          </w:p>
        </w:tc>
        <w:tc>
          <w:tcPr>
            <w:tcW w:type="dxa" w:w="4873"/>
            <w:shd w:val="clear" w:color="auto" w:fill="FDF3E0"/>
          </w:tcPr>
          <w:p>
            <w:r>
              <w:rPr>
                <w:sz w:val="19"/>
              </w:rPr>
              <w:t>Produce fast feasibility costs and pre-qualify projects before committing to a full survey, then use the same document to set client expectations.</w:t>
            </w:r>
          </w:p>
        </w:tc>
      </w:tr>
      <w:tr>
        <w:tc>
          <w:tcPr>
            <w:tcW w:type="dxa" w:w="9746"/>
            <w:gridSpan w:val="2"/>
            <w:shd w:val="clear" w:color="auto" w:fill="1E293B"/>
          </w:tcPr>
          <w:p>
            <w:r>
              <w:rPr>
                <w:b/>
                <w:color w:val="FFFFFF"/>
                <w:sz w:val="17"/>
              </w:rPr>
              <w:t>BENEFITS FROM IT</w:t>
            </w:r>
          </w:p>
        </w:tc>
      </w:tr>
      <w:tr>
        <w:tc>
          <w:tcPr>
            <w:tcW w:type="dxa" w:w="4873"/>
          </w:tcPr>
          <w:p>
            <w:r>
              <w:rPr>
                <w:b/>
                <w:color w:val="1E293B"/>
                <w:sz w:val="19"/>
              </w:rPr>
              <w:t>Homeowners</w:t>
            </w:r>
          </w:p>
        </w:tc>
        <w:tc>
          <w:tcPr>
            <w:tcW w:type="dxa" w:w="4873"/>
          </w:tcPr>
          <w:p>
            <w:r>
              <w:rPr>
                <w:sz w:val="19"/>
              </w:rPr>
              <w:t>Understand the real cost before engaging anyone. Compare quotes against an independent estimate. Track spend as works progress.</w:t>
            </w:r>
          </w:p>
        </w:tc>
      </w:tr>
      <w:tr>
        <w:tc>
          <w:tcPr>
            <w:tcW w:type="dxa" w:w="4873"/>
          </w:tcPr>
          <w:p>
            <w:r>
              <w:rPr>
                <w:b/>
                <w:color w:val="1E293B"/>
                <w:sz w:val="19"/>
              </w:rPr>
              <w:t>Contractors</w:t>
            </w:r>
          </w:p>
        </w:tc>
        <w:tc>
          <w:tcPr>
            <w:tcW w:type="dxa" w:w="4873"/>
          </w:tcPr>
          <w:p>
            <w:r>
              <w:rPr>
                <w:sz w:val="19"/>
              </w:rPr>
              <w:t>Quote a defined scope that every competitor is pricing too, with a published rate basis to stand over their price. Fewer wasted site visits, fewer scope disputes, and homeowners who arrive ready to proceed.</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plus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published evidence, and to prove the tool works in the field before SEAI puts its name near it. Four objectives:</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(detached, semi-detached, terrace, bungalow, apartment), age bands, counties and both grant schemes. Publish the error distribution per measure, not merely an average. Where a measure prices consistently high or low, the rate book is corrected and the correction is dated and recorded.</w:t>
      </w:r>
    </w:p>
    <w:p>
      <w:pPr>
        <w:spacing w:after="120"/>
      </w:pPr>
      <w:r>
        <w:rPr>
          <w:b/>
          <w:color w:val="1E293B"/>
        </w:rPr>
        <w:t>Prove the assessor workflow.</w:t>
      </w:r>
    </w:p>
    <w:p>
      <w:pPr>
        <w:spacing w:after="120"/>
      </w:pPr>
      <w:r>
        <w:t>Measure the time from completed survey to issued cost plan, and confirm assessors can produce it within the visit without specialist QS knowledge. Success is a cost plan in the homeowner's hand at the same appointment.</w:t>
      </w:r>
    </w:p>
    <w:p>
      <w:pPr>
        <w:spacing w:after="120"/>
      </w:pPr>
      <w:r>
        <w:rPr>
          <w:b/>
          <w:color w:val="1E293B"/>
        </w:rPr>
        <w:t>Capture the first actual-cost dataset.</w:t>
      </w:r>
    </w:p>
    <w:p>
      <w:pPr>
        <w:spacing w:after="120"/>
      </w:pPr>
      <w:r>
        <w:t>Every trial project's estimated-versus-actual figures, per measure and per county, seed a retrofit out-turn cost dataset that does not currently exist anywhere in the programme. Aggregated and anonymised, this is offered to SEAI as a direct output of the trial — evidence of what retrofits actually cost, independent of what anyone quoted.</w:t>
      </w:r>
    </w:p>
    <w:p>
      <w:pPr>
        <w:spacing w:after="120"/>
      </w:pPr>
      <w:r>
        <w:rPr>
          <w:b/>
          <w:color w:val="1E293B"/>
        </w:rPr>
        <w:t>Establish rate governance.</w:t>
      </w:r>
    </w:p>
    <w:p>
      <w:pPr>
        <w:spacing w:after="120"/>
      </w:pPr>
      <w:r>
        <w:t>The trial formalises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SEAI review, with all rate and loading changes published and dated. If SEAI would prefer to approve the rate book annually, or to set parameters the tool must apply, we would accept that as a condition of recognition. Oversight strengthens the tool's credibility and gives SEAI direct assurance over what is being published in its name.</w:t>
      </w:r>
    </w:p>
    <w:p>
      <w:pPr>
        <w:spacing w:after="120"/>
      </w:pPr>
      <w:r>
        <w:rPr>
          <w:b/>
          <w:color w:val="1E293B"/>
        </w:rPr>
        <w:t>Liability.</w:t>
      </w:r>
      <w:r>
        <w:t xml:space="preserve"> Every output is labelled an indicative estimate — not a quotation, contract or guarantee of final cost — with the accuracy band printed on the face of the document and the reminder that only SEAI-registered contractors qualify for grant payment.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actual-cost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for indicative retrofit costs.</w:t>
      </w:r>
    </w:p>
    <w:p>
      <w:pPr>
        <w:spacing w:after="120"/>
      </w:pPr>
      <w:r>
        <w:t>Ireland completes roughly 100,000 home energy assessments a year. Every one is an opportunity to give a homeowner a credible number — and today almost none of them do. With SEAI recognition, PlanitBER becomes the consistent, independent format in which that number is given: the same methodology, the same loading basis, and the same grant treatment nationwide, whether the homeowner is in Dublin or Ballymote.</w:t>
      </w:r>
    </w:p>
    <w:p>
      <w:pPr>
        <w:spacing w:after="120"/>
      </w:pPr>
      <w:r>
        <w:rPr>
          <w:b/>
          <w:color w:val="1E293B"/>
        </w:rPr>
        <w:t>A stronger advisory service from assessors.</w:t>
      </w:r>
    </w:p>
    <w:p>
      <w:pPr>
        <w:spacing w:after="120"/>
      </w:pPr>
      <w:r>
        <w:t xml:space="preserve">Assessors are the profession best placed to deliver this — they are already in the home, already measuring, and already trusted to advise on improvements. PlanitBER extends that advisory role from </w:t>
      </w:r>
      <w:r>
        <w:rPr>
          <w:i/>
        </w:rPr>
        <w:t>what to do</w:t>
      </w:r>
      <w:r>
        <w:t xml:space="preserve"> to </w:t>
      </w:r>
      <w:r>
        <w:rPr>
          <w:i/>
        </w:rPr>
        <w:t>what it costs</w:t>
      </w:r>
      <w:r>
        <w:t>, without requiring quantity surveying expertise. That makes the assessment visit more valuable to the homeowner and more commercially attractive to the assessor.</w:t>
      </w:r>
    </w:p>
    <w:p>
      <w:pPr>
        <w:spacing w:after="120"/>
      </w:pPr>
      <w:r>
        <w:rPr>
          <w:b/>
          <w:color w:val="1E293B"/>
        </w:rPr>
        <w:t>A better market for contractors.</w:t>
      </w:r>
    </w:p>
    <w:p>
      <w:pPr>
        <w:spacing w:after="120"/>
      </w:pPr>
      <w:r>
        <w:t>Contractors are among the clearest beneficiaries, and the trial should demonstrate it. When every quote prices the same itemised scope, the lowest price is genuinely the best value rather than the one that omitted the most — which protects the contractor who prices the job properly. Site visits stop being wasted on enquiries that were never going to proceed, because homeowners arrive with realistic expectations and finance already considered. Mid-job disputes and variations fall, because what was included was written down and agreed before anyone started. And a homeowner who understands the cost and the grant is a homeowner who signs: better-informed customers convert, and the work that follows is work that would otherwise have stalled at the quote stage.</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Grant-application support.</w:t>
      </w:r>
    </w:p>
    <w:p>
      <w:pPr>
        <w:spacing w:after="120"/>
      </w:pPr>
      <w:r>
        <w:t>As accuracy is proven, a PlanitBER cost plan could serve as a standard supporting document in grant applications — giving SEAI a consistent, itemised statement of intended works and expected cost at the point of application, and a benchmark against which final invoices can be sense-checked. This is a longer-term possibility rather than a near-term proposal, but the format is already built for it.</w:t>
      </w:r>
    </w:p>
    <w:p>
      <w:pPr>
        <w:spacing w:after="120"/>
      </w:pPr>
      <w:r>
        <w:rPr>
          <w:b/>
          <w:color w:val="1E293B"/>
        </w:rPr>
        <w:t>Eligibility awareness.</w:t>
      </w:r>
    </w:p>
    <w:p>
      <w:pPr>
        <w:spacing w:after="120"/>
      </w:pPr>
      <w:r>
        <w:t>The next development step is encoding SEAI's eligibility rules directly into the tool — year-of-construction thresholds, the post-works Heat Loss Indicator requirement for heat pump grants, and measure-combination rules — so a plan that prices a grant is a plan that qualifies for it. Fewer ineligible applications reach SEAI, and fewer homeowners are disappointed late.</w:t>
      </w:r>
    </w:p>
    <w:p>
      <w:pPr>
        <w:spacing w:after="120"/>
      </w:pPr>
      <w:r>
        <w:rPr>
          <w:b/>
          <w:color w:val="1E293B"/>
        </w:rPr>
        <w:t>The standard cost document for retrofit finance.</w:t>
      </w:r>
    </w:p>
    <w:p>
      <w:pPr>
        <w:spacing w:after="120"/>
      </w:pPr>
      <w:r>
        <w:t>Banks and credit unions writing green loans need a consistent, contractor-independent cost basis. A recognised PlanitBER cost plan — one format, fully reconcilable, grant-aware — is the missing standard attachment for retrofit lending.</w:t>
      </w:r>
    </w:p>
    <w:p>
      <w:pPr>
        <w:spacing w:after="120"/>
      </w:pPr>
      <w:r>
        <w:rPr>
          <w:b/>
          <w:color w:val="1E293B"/>
        </w:rPr>
        <w:t>Whole-project coverage.</w:t>
      </w:r>
    </w:p>
    <w:p>
      <w:pPr>
        <w:spacing w:after="120"/>
      </w:pPr>
      <w:r>
        <w:t>The same engine and report format already extend to refurbishment, extensions and new build, so a deep retrofit that grows into a larger project stays within one consistent costing framework.</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as set out above: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used by assessors, One Stop Shops and homeowners,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grant applications and retrofit lending.</w:t>
      </w:r>
    </w:p>
    <w:p>
      <w:pPr>
        <w:spacing w:after="120"/>
      </w:pPr>
      <w:r>
        <w:t>Each step gives SEAI something concrete — evidence, cost data, higher homeowner conversion — before anything further is asked. PlanitBER is developed, maintained and funded entirely by Turley Energy Consultants; SEAI's role is endorsement and promotion, not build or spend.</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