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drawing>
          <wp:inline xmlns:a="http://schemas.openxmlformats.org/drawingml/2006/main" xmlns:pic="http://schemas.openxmlformats.org/drawingml/2006/picture">
            <wp:extent cx="1655999" cy="409175"/>
            <wp:docPr id="1" name="Picture 1"/>
            <wp:cNvGraphicFramePr>
              <a:graphicFrameLocks noChangeAspect="1"/>
            </wp:cNvGraphicFramePr>
            <a:graphic>
              <a:graphicData uri="http://schemas.openxmlformats.org/drawingml/2006/picture">
                <pic:pic>
                  <pic:nvPicPr>
                    <pic:cNvPr id="0" name="planitber-logo.png"/>
                    <pic:cNvPicPr/>
                  </pic:nvPicPr>
                  <pic:blipFill>
                    <a:blip r:embed="rId9"/>
                    <a:stretch>
                      <a:fillRect/>
                    </a:stretch>
                  </pic:blipFill>
                  <pic:spPr>
                    <a:xfrm>
                      <a:off x="0" y="0"/>
                      <a:ext cx="1655999" cy="409175"/>
                    </a:xfrm>
                    <a:prstGeom prst="rect"/>
                  </pic:spPr>
                </pic:pic>
              </a:graphicData>
            </a:graphic>
          </wp:inline>
        </w:drawing>
      </w:r>
    </w:p>
    <w:p>
      <w:r>
        <w:rPr>
          <w:b/>
          <w:color w:val="1E293B"/>
          <w:sz w:val="44"/>
        </w:rPr>
        <w:t>PlanitBER — Value Proposition</w:t>
      </w:r>
    </w:p>
    <w:p>
      <w:pPr>
        <w:spacing w:after="120"/>
      </w:pPr>
      <w:r>
        <w:rPr>
          <w:b/>
          <w:color w:val="1E293B"/>
        </w:rPr>
        <w:t>One cost language for Ireland's retrofit industry.</w:t>
      </w:r>
    </w:p>
    <w:p>
      <w:pPr>
        <w:spacing w:after="120"/>
      </w:pPr>
      <w:r>
        <w:t>Retrofit stalls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 xml:space="preserve">The </w:t>
      </w:r>
      <w:r>
        <w:rPr>
          <w:b/>
          <w:color w:val="1E293B"/>
        </w:rPr>
        <w:t>Retrofit Cost Plan</w:t>
      </w:r>
      <w:r>
        <w:t xml:space="preserve"> gives all of them one document, built on one published method, that each can read from their own side: the cost of every recommended measure, the SEAI grant against it, and the net figure the homeowner must fund. It is produced by the </w:t>
      </w:r>
      <w:r>
        <w:rPr>
          <w:b/>
          <w:color w:val="1E293B"/>
        </w:rPr>
        <w:t>BER assessor</w:t>
      </w:r>
      <w:r>
        <w:t xml:space="preserve"> from the survey already carried out, using PlanitBER — software built by practising BER assessors.</w:t>
      </w:r>
    </w:p>
    <w:p>
      <w:pPr>
        <w:spacing w:after="120"/>
      </w:pPr>
      <w:r>
        <w:rPr>
          <w:b/>
          <w:color w:val="1E293B"/>
        </w:rPr>
        <w:t>What we are asking of SEAI:</w:t>
      </w:r>
      <w:r>
        <w:t xml:space="preserve"> a funded pilot partnership, leading to recognition of the Retrofit Cost Plan as a standard cost document for Irish home retrofit. Every figure in this pack came from working software, and that software is at demonstration stage. We are not asking SEAI to fund an idea — we are asking for help to finish and prove something that already works.</w:t>
      </w:r>
    </w:p>
    <w:p>
      <w:pPr>
        <w:spacing w:before="280" w:after="80"/>
      </w:pPr>
      <w:r>
        <w:rPr>
          <w:b/>
          <w:color w:val="B07D1A"/>
          <w:sz w:val="30"/>
        </w:rPr>
        <w:t>1. The problem</w:t>
      </w:r>
    </w:p>
    <w:p>
      <w:pPr>
        <w:spacing w:after="120"/>
      </w:pPr>
      <w:r>
        <w:t xml:space="preserve">Ireland has committed to retrofitting </w:t>
      </w:r>
      <w:r>
        <w:rPr>
          <w:b/>
          <w:color w:val="1E293B"/>
        </w:rPr>
        <w:t>500,000 homes to B2 or better by 2030</w:t>
      </w:r>
      <w:r>
        <w:t xml:space="preserve"> and is well behind target. The obstacle is not awareness, and it is not the level of grant support.</w:t>
      </w:r>
    </w:p>
    <w:p>
      <w:pPr>
        <w:spacing w:after="120"/>
      </w:pPr>
      <w:r>
        <w:rPr>
          <w:b/>
          <w:color w:val="1E293B"/>
        </w:rPr>
        <w:t>1. Cost uncertainty stops homeowners acting.</w:t>
      </w:r>
      <w:r>
        <w:t xml:space="preserve"> An assessment says what needs upgrading but puts no price on it. Homeowners don't know whether that means €8,000 or €80,000, so they don't apply for grants, don't approach their bank, and don't proceed.</w:t>
      </w:r>
    </w:p>
    <w:p>
      <w:pPr>
        <w:spacing w:after="120"/>
      </w:pPr>
      <w:r>
        <w:rPr>
          <w:b/>
          <w:color w:val="1E293B"/>
        </w:rPr>
        <w:t>2. Without a reference point, a fair quote and an inflated one look identical.</w:t>
      </w:r>
      <w:r>
        <w:t xml:space="preserve"> That costs honest contractors twice — they lose work to quotes that only look cheaper because items were left out, and they spend unpaid hours pricing enquiries that were never realistic. It costs the scheme too, because homeowners who suspect the grant becomes someone else's margin walk away.</w:t>
      </w:r>
    </w:p>
    <w:p>
      <w:pPr>
        <w:spacing w:after="120"/>
      </w:pPr>
      <w:r>
        <w:rPr>
          <w:b/>
          <w:color w:val="1E293B"/>
        </w:rPr>
        <w:t>3. Nothing bridges assessment and action.</w:t>
      </w:r>
      <w:r>
        <w:t xml:space="preserve"> The homeowner is left with a list of recommendations and no way to act on them, and the window in which they were motivated closes.</w:t>
      </w:r>
    </w:p>
    <w:p>
      <w:pPr>
        <w:spacing w:before="280" w:after="80"/>
      </w:pPr>
      <w:r>
        <w:rPr>
          <w:b/>
          <w:color w:val="B07D1A"/>
          <w:sz w:val="30"/>
        </w:rPr>
        <w:t>2. How the Retrofit Cost Plan answers it</w:t>
      </w:r>
    </w:p>
    <w:p>
      <w:pPr>
        <w:spacing w:after="120"/>
      </w:pPr>
      <w:r>
        <w:rPr>
          <w:b/>
          <w:color w:val="1E293B"/>
        </w:rPr>
        <w:t>1. It gives a credible number.</w:t>
      </w:r>
      <w:r>
        <w:t xml:space="preserve"> An itemised budget built from the geometry the assessor already measured, using county-adjusted labour and current Irish material pricing, fully loaded (overhead and profit 12%, contingency 10%, VAT 13.5%; Solar PV 0%). Heat pumps are sized from the Heat Loss Indicator to IS EN 12831, not estimated from floor area.</w:t>
      </w:r>
    </w:p>
    <w:p>
      <w:pPr>
        <w:spacing w:after="120"/>
      </w:pPr>
      <w:r>
        <w:rPr>
          <w:b/>
          <w:color w:val="1E293B"/>
        </w:rPr>
        <w:t>2. It gives everyone the same reference point.</w:t>
      </w:r>
      <w:r>
        <w:t xml:space="preserve"> Costs are set out independently of anyone selling the works, with grants deducted line by line. The homeowner can judge a quote; the contractor prices a defined scope that every competitor is pricing too, with a published rate basis to stand over their figure.</w:t>
      </w:r>
    </w:p>
    <w:p>
      <w:pPr>
        <w:spacing w:after="120"/>
      </w:pPr>
      <w:r>
        <w:rPr>
          <w:b/>
          <w:color w:val="1E293B"/>
        </w:rPr>
        <w:t>3. It closes the gap between advice and action.</w:t>
      </w:r>
      <w:r>
        <w:t xml:space="preserve"> Produced from the survey already done — no return visit, no re-measuring — and issued with the BER documentation as part of the same job.</w:t>
      </w:r>
    </w:p>
    <w:p>
      <w:pPr>
        <w:spacing w:after="120"/>
      </w:pPr>
      <w:r>
        <w:t>The result is alignment. The assessor's advice, the contractor's quote, the homeowner's budget, the lender's file and SEAI's grant all reference the same scope and the same published rates. Disputes fall because there is something agreed to point at. That is a benefit to the sector, not a feature of a product, and it is why SEAI's endorsement matters more than any marketing on our side.</w:t>
      </w:r>
    </w:p>
    <w:p>
      <w:pPr>
        <w:spacing w:after="120"/>
      </w:pPr>
      <w:r>
        <w:rPr>
          <w:b/>
          <w:color w:val="1E293B"/>
        </w:rPr>
        <w:t>The document.</w:t>
      </w:r>
      <w:r>
        <w:t xml:space="preserve"> Page 1 is the homeowner's summary — one row per measure with scope, cost, grant and net, plus an actual-spend column for tracking works. The pages behind it are the evidence: the loading methodology totalling exactly to the headline, and an itemised appendix down to unit rates. Both stay in one document so they can never drift apart.</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Party</w:t>
            </w:r>
          </w:p>
        </w:tc>
        <w:tc>
          <w:tcPr>
            <w:tcW w:type="dxa" w:w="4873"/>
          </w:tcPr>
          <w:p>
            <w:r>
              <w:rPr>
                <w:b/>
                <w:sz w:val="19"/>
              </w:rPr>
              <w:t>How they use it</w:t>
            </w:r>
          </w:p>
        </w:tc>
      </w:tr>
      <w:tr>
        <w:tc>
          <w:tcPr>
            <w:tcW w:type="dxa" w:w="9746"/>
            <w:gridSpan w:val="2"/>
            <w:shd w:val="clear" w:color="auto" w:fill="1E293B"/>
          </w:tcPr>
          <w:p>
            <w:r>
              <w:rPr>
                <w:b/>
                <w:color w:val="FFFFFF"/>
                <w:sz w:val="17"/>
              </w:rPr>
              <w:t>PRODUCES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advice they already give, issued with the BER documentation. Uses the survey already carried out; no return visit.</w:t>
            </w:r>
          </w:p>
        </w:tc>
      </w:tr>
      <w:tr>
        <w:tc>
          <w:tcPr>
            <w:tcW w:type="dxa" w:w="9746"/>
            <w:gridSpan w:val="2"/>
            <w:shd w:val="clear" w:color="auto" w:fill="1E293B"/>
          </w:tcPr>
          <w:p>
            <w:r>
              <w:rPr>
                <w:b/>
                <w:color w:val="FFFFFF"/>
                <w:sz w:val="17"/>
              </w:rPr>
              <w:t>RELIES ON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benchmark.</w:t>
            </w:r>
          </w:p>
        </w:tc>
      </w:tr>
      <w:tr>
        <w:tc>
          <w:tcPr>
            <w:tcW w:type="dxa" w:w="4873"/>
          </w:tcPr>
          <w:p>
            <w:r>
              <w:rPr>
                <w:b/>
                <w:color w:val="1E293B"/>
                <w:sz w:val="19"/>
              </w:rPr>
              <w:t>Contractors</w:t>
            </w:r>
          </w:p>
        </w:tc>
        <w:tc>
          <w:tcPr>
            <w:tcW w:type="dxa" w:w="4873"/>
          </w:tcPr>
          <w:p>
            <w:r>
              <w:rPr>
                <w:sz w:val="19"/>
              </w:rPr>
              <w:t>Quote a defined scope every competitor is pricing too. Fewer wasted site visits, fewer scope disputes.</w:t>
            </w:r>
          </w:p>
        </w:tc>
      </w:tr>
      <w:tr>
        <w:tc>
          <w:tcPr>
            <w:tcW w:type="dxa" w:w="4873"/>
          </w:tcPr>
          <w:p>
            <w:r>
              <w:rPr>
                <w:b/>
                <w:color w:val="1E293B"/>
                <w:sz w:val="19"/>
              </w:rPr>
              <w:t>One Stop Shops &amp; CEG Coordinators</w:t>
            </w:r>
          </w:p>
        </w:tc>
        <w:tc>
          <w:tcPr>
            <w:tcW w:type="dxa" w:w="4873"/>
          </w:tcPr>
          <w:p>
            <w:r>
              <w:rPr>
                <w:sz w:val="19"/>
              </w:rPr>
              <w:t>Price and pre-qualify projects on a common basis. Under CEG, where several contractors price one project, a shared scope is what makes them comparable.</w:t>
            </w:r>
          </w:p>
        </w:tc>
      </w:tr>
      <w:tr>
        <w:tc>
          <w:tcPr>
            <w:tcW w:type="dxa" w:w="4873"/>
          </w:tcPr>
          <w:p>
            <w:r>
              <w:rPr>
                <w:b/>
                <w:color w:val="1E293B"/>
                <w:sz w:val="19"/>
              </w:rPr>
              <w:t>Banks &amp; Credit Unions</w:t>
            </w:r>
          </w:p>
        </w:tc>
        <w:tc>
          <w:tcPr>
            <w:tcW w:type="dxa" w:w="4873"/>
          </w:tcPr>
          <w:p>
            <w:r>
              <w:rPr>
                <w:sz w:val="19"/>
              </w:rPr>
              <w:t>A consistent, contractor-independent cost document for green loan applications.</w:t>
            </w:r>
          </w:p>
        </w:tc>
      </w:tr>
      <w:tr>
        <w:tc>
          <w:tcPr>
            <w:tcW w:type="dxa" w:w="4873"/>
          </w:tcPr>
          <w:p>
            <w:r>
              <w:rPr>
                <w:b/>
                <w:color w:val="1E293B"/>
                <w:sz w:val="19"/>
              </w:rPr>
              <w:t>Local Authorities &amp; AHBs</w:t>
            </w:r>
          </w:p>
        </w:tc>
        <w:tc>
          <w:tcPr>
            <w:tcW w:type="dxa" w:w="4873"/>
          </w:tcPr>
          <w:p>
            <w:r>
              <w:rPr>
                <w:sz w:val="19"/>
              </w:rPr>
              <w:t>Bulk estimation and budget forecasting for estate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costs.</w:t>
            </w:r>
          </w:p>
        </w:tc>
      </w:tr>
    </w:tbl>
    <w:p>
      <w:pPr>
        <w:spacing w:after="120"/>
      </w:pPr>
      <w:r>
        <w:rPr>
          <w:b/>
          <w:color w:val="1E293B"/>
        </w:rPr>
        <w:t>The three routes.</w:t>
      </w:r>
      <w:r>
        <w:t xml:space="preserve"> A homeowner reaches the same works one of three ways, and the Cost Plan prices all three so the choice can be made on evidence.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tc>
        <w:tc>
          <w:tcPr>
            <w:tcW w:type="dxa" w:w="2436"/>
          </w:tcPr>
          <w:p>
            <w:r>
              <w:rPr>
                <w:b/>
                <w:sz w:val="19"/>
              </w:rPr>
              <w:t>One Stop Shop</w:t>
            </w:r>
          </w:p>
        </w:tc>
        <w:tc>
          <w:tcPr>
            <w:tcW w:type="dxa" w:w="2436"/>
          </w:tcPr>
          <w:p>
            <w:r>
              <w:rPr>
                <w:b/>
                <w:sz w:val="19"/>
              </w:rPr>
              <w:t>Community Energy Grant</w:t>
            </w:r>
          </w:p>
        </w:tc>
        <w:tc>
          <w:tcPr>
            <w:tcW w:type="dxa" w:w="2436"/>
          </w:tcPr>
          <w:p>
            <w:r>
              <w:rPr>
                <w:b/>
                <w:sz w:val="19"/>
              </w:rPr>
              <w:t>Better Energy Homes</w:t>
            </w:r>
          </w:p>
        </w:tc>
      </w:tr>
      <w:tr>
        <w:tc>
          <w:tcPr>
            <w:tcW w:type="dxa" w:w="2436"/>
          </w:tcPr>
          <w:p>
            <w:r>
              <w:rPr>
                <w:sz w:val="19"/>
              </w:rPr>
              <w:t>Who applies</w:t>
            </w:r>
          </w:p>
        </w:tc>
        <w:tc>
          <w:tcPr>
            <w:tcW w:type="dxa" w:w="2436"/>
          </w:tcPr>
          <w:p>
            <w:r>
              <w:rPr>
                <w:sz w:val="19"/>
              </w:rPr>
              <w:t>One Stop Shop</w:t>
            </w:r>
          </w:p>
        </w:tc>
        <w:tc>
          <w:tcPr>
            <w:tcW w:type="dxa" w:w="2436"/>
          </w:tcPr>
          <w:p>
            <w:r>
              <w:rPr>
                <w:sz w:val="19"/>
              </w:rPr>
              <w:t>Project Coordinator</w:t>
            </w:r>
          </w:p>
        </w:tc>
        <w:tc>
          <w:tcPr>
            <w:tcW w:type="dxa" w:w="2436"/>
          </w:tcPr>
          <w:p>
            <w:r>
              <w:rPr>
                <w:sz w:val="19"/>
              </w:rPr>
              <w:t>Homeowner</w:t>
            </w:r>
          </w:p>
        </w:tc>
      </w:tr>
      <w:tr>
        <w:tc>
          <w:tcPr>
            <w:tcW w:type="dxa" w:w="2436"/>
          </w:tcPr>
          <w:p>
            <w:r>
              <w:rPr>
                <w:sz w:val="19"/>
              </w:rPr>
              <w:t>Who does the work</w:t>
            </w:r>
          </w:p>
        </w:tc>
        <w:tc>
          <w:tcPr>
            <w:tcW w:type="dxa" w:w="2436"/>
          </w:tcPr>
          <w:p>
            <w:r>
              <w:rPr>
                <w:sz w:val="19"/>
              </w:rPr>
              <w:t>One company, start to finish</w:t>
            </w:r>
          </w:p>
        </w:tc>
        <w:tc>
          <w:tcPr>
            <w:tcW w:type="dxa" w:w="2436"/>
          </w:tcPr>
          <w:p>
            <w:r>
              <w:rPr>
                <w:sz w:val="19"/>
              </w:rPr>
              <w:t>Several contractors in an approved project</w:t>
            </w:r>
          </w:p>
        </w:tc>
        <w:tc>
          <w:tcPr>
            <w:tcW w:type="dxa" w:w="2436"/>
          </w:tcPr>
          <w:p>
            <w:r>
              <w:rPr>
                <w:sz w:val="19"/>
              </w:rPr>
              <w:t>Contractors the homeowner appoints</w:t>
            </w:r>
          </w:p>
        </w:tc>
      </w:tr>
      <w:tr>
        <w:tc>
          <w:tcPr>
            <w:tcW w:type="dxa" w:w="2436"/>
          </w:tcPr>
          <w:p>
            <w:r>
              <w:rPr>
                <w:sz w:val="19"/>
              </w:rPr>
              <w:t>Grant values</w:t>
            </w:r>
          </w:p>
        </w:tc>
        <w:tc>
          <w:tcPr>
            <w:tcW w:type="dxa" w:w="2436"/>
          </w:tcPr>
          <w:p>
            <w:r>
              <w:rPr>
                <w:sz w:val="19"/>
              </w:rPr>
              <w:t>SEAI published table</w:t>
            </w:r>
          </w:p>
        </w:tc>
        <w:tc>
          <w:tcPr>
            <w:tcW w:type="dxa" w:w="2436"/>
          </w:tcPr>
          <w:p>
            <w:r>
              <w:rPr>
                <w:sz w:val="19"/>
              </w:rPr>
              <w:t>Project-specific</w:t>
            </w:r>
          </w:p>
        </w:tc>
        <w:tc>
          <w:tcPr>
            <w:tcW w:type="dxa" w:w="2436"/>
          </w:tcPr>
          <w:p>
            <w:r>
              <w:rPr>
                <w:sz w:val="19"/>
              </w:rPr>
              <w:t>SEAI published table</w:t>
            </w:r>
          </w:p>
        </w:tc>
      </w:tr>
      <w:tr>
        <w:tc>
          <w:tcPr>
            <w:tcW w:type="dxa" w:w="2436"/>
          </w:tcPr>
          <w:p>
            <w:r>
              <w:rPr>
                <w:sz w:val="19"/>
              </w:rPr>
              <w:t>When the grant lands</w:t>
            </w:r>
          </w:p>
        </w:tc>
        <w:tc>
          <w:tcPr>
            <w:tcW w:type="dxa" w:w="2436"/>
          </w:tcPr>
          <w:p>
            <w:r>
              <w:rPr>
                <w:sz w:val="19"/>
              </w:rPr>
              <w:t>Deducted from the price</w:t>
            </w:r>
          </w:p>
        </w:tc>
        <w:tc>
          <w:tcPr>
            <w:tcW w:type="dxa" w:w="2436"/>
          </w:tcPr>
          <w:p>
            <w:r>
              <w:rPr>
                <w:sz w:val="19"/>
              </w:rPr>
              <w:t>Project-specific</w:t>
            </w:r>
          </w:p>
        </w:tc>
        <w:tc>
          <w:tcPr>
            <w:tcW w:type="dxa" w:w="2436"/>
          </w:tcPr>
          <w:p>
            <w:r>
              <w:rPr>
                <w:sz w:val="19"/>
              </w:rPr>
              <w:t>After completion — the homeowner funds the gross first</w:t>
            </w:r>
          </w:p>
        </w:tc>
      </w:tr>
      <w:tr>
        <w:tc>
          <w:tcPr>
            <w:tcW w:type="dxa" w:w="2436"/>
          </w:tcPr>
          <w:p>
            <w:r>
              <w:rPr>
                <w:sz w:val="19"/>
              </w:rPr>
              <w:t>Management charge</w:t>
            </w:r>
          </w:p>
        </w:tc>
        <w:tc>
          <w:tcPr>
            <w:tcW w:type="dxa" w:w="2436"/>
          </w:tcPr>
          <w:p>
            <w:r>
              <w:rPr>
                <w:sz w:val="19"/>
              </w:rPr>
              <w:t>Inside the provider's single price</w:t>
            </w:r>
          </w:p>
        </w:tc>
        <w:tc>
          <w:tcPr>
            <w:tcW w:type="dxa" w:w="2436"/>
          </w:tcPr>
          <w:p>
            <w:r>
              <w:rPr>
                <w:sz w:val="19"/>
              </w:rPr>
              <w:t>Itemised by the coordinator</w:t>
            </w:r>
          </w:p>
        </w:tc>
        <w:tc>
          <w:tcPr>
            <w:tcW w:type="dxa" w:w="2436"/>
          </w:tcPr>
          <w:p>
            <w:r>
              <w:rPr>
                <w:sz w:val="19"/>
              </w:rPr>
              <w:t>None; the homeowner does the administration</w:t>
            </w:r>
          </w:p>
        </w:tc>
      </w:tr>
    </w:tbl>
    <w:p>
      <w:pPr>
        <w:spacing w:after="120"/>
      </w:pPr>
      <w:r>
        <w:t xml:space="preserve">Running a retrofit and claiming the grants costs money, and the plan prices it rather than hiding it. On a typical CEG project that is a </w:t>
      </w:r>
      <w:r>
        <w:rPr>
          <w:b/>
          <w:color w:val="1E293B"/>
        </w:rPr>
        <w:t>€4,600 administration charge against a €2,000 project management grant</w:t>
      </w:r>
      <w:r>
        <w:t xml:space="preserve"> — a €2,600 net cost a homeowner comparing grant totals alone would never see. A One Stop Shop does not itemise it, so the plan carries an allowance above the coordinator basis; that uplift is a working assumption, labelled provisional on every plan, and evidencing it is a specific job of the pilot.</w:t>
      </w:r>
    </w:p>
    <w:p>
      <w:pPr>
        <w:spacing w:before="280" w:after="80"/>
      </w:pPr>
      <w:r>
        <w:rPr>
          <w:b/>
          <w:color w:val="B07D1A"/>
          <w:sz w:val="30"/>
        </w:rPr>
        <w:t>3. The pilot</w:t>
      </w:r>
    </w:p>
    <w:p>
      <w:pPr>
        <w:spacing w:after="120"/>
      </w:pPr>
      <w:r>
        <w:t>It turns the stated accuracy (±15–20%) into published evidence, tunes the rates and grant tables against real prices, and completes the remaining development — so what SEAI is asked to recognise has been proven first.</w:t>
      </w:r>
    </w:p>
    <w:p>
      <w:pPr>
        <w:pStyle w:val="ListBullet"/>
      </w:pPr>
      <w:r>
        <w:rPr>
          <w:b/>
          <w:color w:val="1E293B"/>
        </w:rPr>
        <w:t>Validate accuracy.</w:t>
      </w:r>
      <w:r>
        <w:t xml:space="preserve"> 50–100 live projects against real contractor quotes, across dwelling types, age bands, counties and all three routes. Publish the error distribution per measure, not an average.</w:t>
      </w:r>
    </w:p>
    <w:p>
      <w:pPr>
        <w:pStyle w:val="ListBullet"/>
      </w:pPr>
      <w:r>
        <w:rPr>
          <w:b/>
          <w:color w:val="1E293B"/>
        </w:rPr>
        <w:t>Tune the rate book and grant tables.</w:t>
      </w:r>
      <w:r>
        <w:t xml:space="preserve"> Correct what prices high or low, dated and recorded. Test CEG with real coordinator rates rather than assumed ones.</w:t>
      </w:r>
    </w:p>
    <w:p>
      <w:pPr>
        <w:pStyle w:val="ListBullet"/>
      </w:pPr>
      <w:r>
        <w:rPr>
          <w:b/>
          <w:color w:val="1E293B"/>
        </w:rPr>
        <w:t>Prove the assessor workflow.</w:t>
      </w:r>
      <w:r>
        <w:t xml:space="preserve"> A Cost Plan produced from the existing survey, without a return visit or specialist QS knowledge, issued with the BER documentation.</w:t>
      </w:r>
    </w:p>
    <w:p>
      <w:pPr>
        <w:pStyle w:val="ListBullet"/>
      </w:pPr>
      <w:r>
        <w:rPr>
          <w:b/>
          <w:color w:val="1E293B"/>
        </w:rPr>
        <w:t>Capture the first actual-cost dataset.</w:t>
      </w:r>
      <w:r>
        <w:t xml:space="preserve"> Estimated-versus-actual per measure and per county — a record that exists nowhere in the programme today.</w:t>
      </w:r>
    </w:p>
    <w:p>
      <w:pPr>
        <w:pStyle w:val="ListBullet"/>
      </w:pPr>
      <w:r>
        <w:rPr>
          <w:b/>
          <w:color w:val="1E293B"/>
        </w:rPr>
        <w:t>Complete the development.</w:t>
      </w:r>
      <w:r>
        <w:t xml:space="preserve"> Energy Upgrade is ready now; Refurbishment and New Build share the same engine and follow behind it.</w:t>
      </w:r>
    </w:p>
    <w:p>
      <w:pPr>
        <w:spacing w:after="120"/>
      </w:pPr>
      <w:r>
        <w:rPr>
          <w:b/>
          <w:color w:val="1E293B"/>
        </w:rPr>
        <w:t>Success criteria, stated in advance:</w:t>
      </w:r>
      <w:r>
        <w:t xml:space="preserve"> accuracy within the published band on ≥80% of projects; a Cost Plan issued with the BER documentation on ≥90% of assessments with no return visit; a documented rate-correction cycle completed; homeowner progression to grant application tracked against a comparison group. </w:t>
      </w:r>
      <w:r>
        <w:rPr>
          <w:b/>
          <w:color w:val="1E293B"/>
        </w:rPr>
        <w:t>Timeline:</w:t>
      </w:r>
      <w:r>
        <w:t xml:space="preserve"> six months from approval.</w:t>
      </w:r>
    </w:p>
    <w:p>
      <w:pPr>
        <w:spacing w:after="120"/>
      </w:pPr>
      <w:r>
        <w:rPr>
          <w:b/>
          <w:color w:val="1E293B"/>
        </w:rPr>
        <w:t>The funding ask.</w:t>
      </w:r>
      <w:r>
        <w:t xml:space="preserve"> We are asking SEAI to fund the pilot and deliver it with us — recruiting assessors, collecting and verifying matched quotes and out-turn costs, tuning the tables, completing development, and independent analysis. Not the building of PlanitBER, which is paid for. It is worth funding because it produces the evidence that would justify endorsement, it produces a public asset in the cost dataset, and a jointly delivered pilot carries far more weight with the sector than one run by a private firm alone.</w:t>
      </w:r>
    </w:p>
    <w:p>
      <w:pPr>
        <w:spacing w:after="120"/>
      </w:pPr>
      <w:r>
        <w:rPr>
          <w:b/>
          <w:color w:val="1E293B"/>
        </w:rPr>
        <w:t>Governance and risk.</w:t>
      </w:r>
      <w:r>
        <w:t xml:space="preserve"> We would welcome a formal SEAI role in governing the method — the rate book, the grant tables, their sources and every revision open to review, with changes published and dated; annual approval if SEAI prefers. Every Cost Plan is labelled an indicative estimate with its accuracy band on its face, and Turley Energy Consultants carries professional indemnity insurance; recognition would carry no liability for SEAI. Data shared with SEAI is aggregated and anonymised, with homeowner consent. The Cost Plan is free to homeowners; assessors access PlanitBER under an annual licence, priced to be recoverable from a single assessment, and we take no commission, referral fee or contractor advertising from anyone.</w:t>
      </w:r>
    </w:p>
    <w:p>
      <w:pPr>
        <w:spacing w:before="280" w:after="80"/>
      </w:pPr>
      <w:r>
        <w:rPr>
          <w:b/>
          <w:color w:val="B07D1A"/>
          <w:sz w:val="30"/>
        </w:rPr>
        <w:t>4. What it can become</w:t>
      </w:r>
    </w:p>
    <w:p>
      <w:pPr>
        <w:spacing w:after="120"/>
      </w:pPr>
      <w:r>
        <w:t>Ireland completes roughly 100,000 assessments a year and almost none leave the homeowner with a credible number. Recognition would make the Retrofit Cost Plan the consistent format in which that number is given nationwide — the examples in this pack are drawn from two counties at opposite ends of the labour-cost range to show the same specification correctly regionalised.</w:t>
      </w:r>
    </w:p>
    <w:p>
      <w:pPr>
        <w:spacing w:after="120"/>
      </w:pPr>
      <w:r>
        <w:t>At scale the estimated-versus-actual dataset becomes a live index of retrofit costs by measure, dwelling type and county: the reference SEAI needs to calibrate grant rates and demonstrate value for money. Beyond that, SEAI's eligibility rules can be built into the method so a plan that prices a grant is a plan that qualifies for it; and the Cost Plan becomes the standard cost document for retrofit lending, which banks currently lack.</w:t>
      </w:r>
    </w:p>
    <w:p>
      <w:pPr>
        <w:spacing w:after="120"/>
      </w:pPr>
      <w:r>
        <w:rPr>
          <w:b/>
          <w:color w:val="1E293B"/>
        </w:rPr>
        <w:t>The path we propose:</w:t>
      </w:r>
    </w:p>
    <w:p>
      <w:pPr>
        <w:spacing w:after="80"/>
        <w:ind w:left="454" w:hanging="454"/>
      </w:pPr>
      <w:r>
        <w:rPr>
          <w:b/>
          <w:color w:val="1E293B"/>
        </w:rPr>
        <w:t xml:space="preserve">1.  </w:t>
      </w:r>
      <w:r>
        <w:rPr>
          <w:b/>
          <w:color w:val="1E293B"/>
        </w:rPr>
        <w:t>Funded pilot</w:t>
      </w:r>
      <w:r>
        <w:t xml:space="preserve"> — accuracy report, tuned rates and grant tables, actual-cost dataset, rate governance.</w:t>
      </w:r>
    </w:p>
    <w:p>
      <w:pPr>
        <w:spacing w:after="80"/>
        <w:ind w:left="454" w:hanging="454"/>
      </w:pPr>
      <w:r>
        <w:rPr>
          <w:b/>
          <w:color w:val="1E293B"/>
        </w:rPr>
        <w:t xml:space="preserve">2.  </w:t>
      </w:r>
      <w:r>
        <w:rPr>
          <w:b/>
          <w:color w:val="1E293B"/>
        </w:rPr>
        <w:t>Recognition</w:t>
      </w:r>
      <w:r>
        <w:t xml:space="preserve"> — the Retrofit Cost Plan as a standard cost document, PlanitBER as the means of producing it.</w:t>
      </w:r>
    </w:p>
    <w:p>
      <w:pPr>
        <w:spacing w:after="80"/>
        <w:ind w:left="454" w:hanging="454"/>
      </w:pPr>
      <w:r>
        <w:rPr>
          <w:b/>
          <w:color w:val="1E293B"/>
        </w:rPr>
        <w:t xml:space="preserve">3.  </w:t>
      </w:r>
      <w:r>
        <w:rPr>
          <w:b/>
          <w:color w:val="1E293B"/>
        </w:rPr>
        <w:t>Wider role</w:t>
      </w:r>
      <w:r>
        <w:t xml:space="preserve"> — subject to proven accuracy, supporting retrofit lending and, in time, grant applications.</w:t>
      </w:r>
    </w:p>
    <w:p>
      <w:pPr>
        <w:spacing w:after="120"/>
      </w:pPr>
      <w:r>
        <w:t>Each step produces something concrete before the next is asked for. What we are seeking is a partner rather than a customer: joint delivery, shared oversight, findings that belong to the sector. A standard the industry trusts is one SEAI stands over, and we would rather build that with SEAI than alongside it.</w:t>
      </w:r>
    </w:p>
    <w:p>
      <w:pPr>
        <w:spacing w:after="120"/>
      </w:pPr>
      <w:r>
        <w:rPr>
          <w:i/>
        </w:rPr>
        <w:t>PlanitBER V1 · Turley Energy Consultants · Indicative accuracy ±15–20% (to be evidenced in pilot)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