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EB7B0" w14:textId="77777777" w:rsidR="0005677E" w:rsidRDefault="00000000">
      <w:r>
        <w:rPr>
          <w:noProof/>
        </w:rPr>
        <w:drawing>
          <wp:inline distT="0" distB="0" distL="0" distR="0" wp14:anchorId="10E30818" wp14:editId="70BA3624">
            <wp:extent cx="1655999" cy="409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itber-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40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CF14" w14:textId="77777777" w:rsidR="0005677E" w:rsidRDefault="00000000">
      <w:r>
        <w:rPr>
          <w:b/>
          <w:color w:val="1E293B"/>
          <w:sz w:val="44"/>
        </w:rPr>
        <w:t>PlanitBER — SEAI Review Pack</w:t>
      </w:r>
    </w:p>
    <w:p w14:paraId="0CE9FA93" w14:textId="77777777" w:rsidR="0005677E" w:rsidRDefault="00000000">
      <w:pPr>
        <w:spacing w:after="120"/>
      </w:pPr>
      <w:r>
        <w:rPr>
          <w:i/>
        </w:rPr>
        <w:t>Turley Energy Consultants · PlanitBER V1</w:t>
      </w:r>
    </w:p>
    <w:p w14:paraId="073E97BF" w14:textId="77777777" w:rsidR="0005677E" w:rsidRDefault="00000000">
      <w:pPr>
        <w:spacing w:before="280" w:after="80"/>
      </w:pPr>
      <w:r>
        <w:rPr>
          <w:b/>
          <w:color w:val="B07D1A"/>
          <w:sz w:val="30"/>
        </w:rPr>
        <w:t>1. Value proposition</w:t>
      </w:r>
    </w:p>
    <w:p w14:paraId="075032A9" w14:textId="77777777" w:rsidR="0005677E" w:rsidRDefault="00000000">
      <w:pPr>
        <w:pStyle w:val="ListBullet"/>
      </w:pPr>
      <w:r>
        <w:rPr>
          <w:b/>
          <w:color w:val="1E293B"/>
        </w:rPr>
        <w:t>00_PlanitBER_Value_Proposition.docx</w:t>
      </w:r>
      <w:r>
        <w:t xml:space="preserve"> — what it is, the pilot, and what it can become</w:t>
      </w:r>
    </w:p>
    <w:p w14:paraId="2AB440AF" w14:textId="3C7B7C73" w:rsidR="0005677E" w:rsidRDefault="0005677E" w:rsidP="00CB5999">
      <w:pPr>
        <w:pStyle w:val="ListBullet"/>
        <w:numPr>
          <w:ilvl w:val="0"/>
          <w:numId w:val="0"/>
        </w:numPr>
      </w:pPr>
    </w:p>
    <w:p w14:paraId="60223165" w14:textId="77777777" w:rsidR="0005677E" w:rsidRDefault="00000000">
      <w:pPr>
        <w:spacing w:before="280" w:after="80"/>
      </w:pPr>
      <w:r>
        <w:rPr>
          <w:b/>
          <w:color w:val="B07D1A"/>
          <w:sz w:val="30"/>
        </w:rPr>
        <w:t>2. Worked examples — two houses, three grant routes each</w:t>
      </w:r>
    </w:p>
    <w:p w14:paraId="1ACDD5E5" w14:textId="77777777" w:rsidR="0005677E" w:rsidRDefault="00000000">
      <w:pPr>
        <w:spacing w:after="120"/>
      </w:pPr>
      <w:r>
        <w:t>The same house is priced under all three SEAI routes, so the effect of the route can be</w:t>
      </w:r>
    </w:p>
    <w:p w14:paraId="659382BD" w14:textId="77777777" w:rsidR="0005677E" w:rsidRDefault="00000000">
      <w:pPr>
        <w:spacing w:after="120"/>
      </w:pPr>
      <w:r>
        <w:t>read directly. The two houses sit at opposite ends of the labour-cost range — Mayo is the</w:t>
      </w:r>
    </w:p>
    <w:p w14:paraId="670B709D" w14:textId="77777777" w:rsidR="0005677E" w:rsidRDefault="00000000">
      <w:pPr>
        <w:spacing w:after="120"/>
      </w:pPr>
      <w:r>
        <w:t>national baseline (×1.00) and Dublin the highest (×1.25) — so identical specifications</w:t>
      </w:r>
    </w:p>
    <w:p w14:paraId="3CEC1CB7" w14:textId="77777777" w:rsidR="0005677E" w:rsidRDefault="00000000">
      <w:pPr>
        <w:spacing w:after="120"/>
      </w:pPr>
      <w:r>
        <w:t>produce different, correctly regionalised figures.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05677E" w14:paraId="04521A76" w14:textId="77777777" w:rsidTr="000567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49165E9D" w14:textId="77777777" w:rsidR="0005677E" w:rsidRDefault="00000000">
            <w:r>
              <w:rPr>
                <w:sz w:val="19"/>
              </w:rPr>
              <w:t>House</w:t>
            </w:r>
          </w:p>
        </w:tc>
        <w:tc>
          <w:tcPr>
            <w:tcW w:w="1949" w:type="dxa"/>
          </w:tcPr>
          <w:p w14:paraId="7A388778" w14:textId="77777777" w:rsidR="000567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Detail</w:t>
            </w:r>
          </w:p>
        </w:tc>
        <w:tc>
          <w:tcPr>
            <w:tcW w:w="1949" w:type="dxa"/>
          </w:tcPr>
          <w:p w14:paraId="65B21003" w14:textId="77777777" w:rsidR="000567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Route</w:t>
            </w:r>
          </w:p>
        </w:tc>
        <w:tc>
          <w:tcPr>
            <w:tcW w:w="1949" w:type="dxa"/>
          </w:tcPr>
          <w:p w14:paraId="7B1D2205" w14:textId="77777777" w:rsidR="000567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Total</w:t>
            </w:r>
          </w:p>
        </w:tc>
        <w:tc>
          <w:tcPr>
            <w:tcW w:w="1949" w:type="dxa"/>
          </w:tcPr>
          <w:p w14:paraId="27AF1F57" w14:textId="77777777" w:rsidR="000567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Grants</w:t>
            </w:r>
          </w:p>
        </w:tc>
      </w:tr>
      <w:tr w:rsidR="0005677E" w14:paraId="3B5750AA" w14:textId="77777777" w:rsidTr="00056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5CCDC9C7" w14:textId="77777777" w:rsidR="0005677E" w:rsidRDefault="00000000">
            <w:r>
              <w:rPr>
                <w:color w:val="1E293B"/>
                <w:sz w:val="19"/>
              </w:rPr>
              <w:t>01 Westport, Co. Mayo</w:t>
            </w:r>
          </w:p>
        </w:tc>
        <w:tc>
          <w:tcPr>
            <w:tcW w:w="1949" w:type="dxa"/>
          </w:tcPr>
          <w:p w14:paraId="5DC2B7E0" w14:textId="77777777" w:rsidR="000567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Detached bungalow, 118m², 1978–82, BER E→A. Two roof types: ceiling level 70m² and rafter level 48m².</w:t>
            </w:r>
          </w:p>
        </w:tc>
        <w:tc>
          <w:tcPr>
            <w:tcW w:w="1949" w:type="dxa"/>
          </w:tcPr>
          <w:p w14:paraId="1214EB63" w14:textId="77777777" w:rsidR="000567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One Stop Shop</w:t>
            </w:r>
          </w:p>
        </w:tc>
        <w:tc>
          <w:tcPr>
            <w:tcW w:w="1949" w:type="dxa"/>
          </w:tcPr>
          <w:p w14:paraId="4796F4BB" w14:textId="77777777" w:rsidR="000567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€72,010</w:t>
            </w:r>
          </w:p>
        </w:tc>
        <w:tc>
          <w:tcPr>
            <w:tcW w:w="1949" w:type="dxa"/>
          </w:tcPr>
          <w:p w14:paraId="05377384" w14:textId="77777777" w:rsidR="000567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€28,310</w:t>
            </w:r>
          </w:p>
        </w:tc>
      </w:tr>
      <w:tr w:rsidR="0005677E" w14:paraId="61DE8255" w14:textId="77777777" w:rsidTr="00056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1FBE6F10" w14:textId="77777777" w:rsidR="0005677E" w:rsidRDefault="0005677E"/>
        </w:tc>
        <w:tc>
          <w:tcPr>
            <w:tcW w:w="1949" w:type="dxa"/>
          </w:tcPr>
          <w:p w14:paraId="67B78277" w14:textId="77777777" w:rsidR="0005677E" w:rsidRDefault="000567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49" w:type="dxa"/>
          </w:tcPr>
          <w:p w14:paraId="0614FE47" w14:textId="77777777" w:rsidR="000567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CEG</w:t>
            </w:r>
          </w:p>
        </w:tc>
        <w:tc>
          <w:tcPr>
            <w:tcW w:w="1949" w:type="dxa"/>
          </w:tcPr>
          <w:p w14:paraId="6E6BA49C" w14:textId="77777777" w:rsidR="000567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€64,520</w:t>
            </w:r>
          </w:p>
        </w:tc>
        <w:tc>
          <w:tcPr>
            <w:tcW w:w="1949" w:type="dxa"/>
          </w:tcPr>
          <w:p w14:paraId="3296E511" w14:textId="77777777" w:rsidR="000567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€28,310</w:t>
            </w:r>
          </w:p>
        </w:tc>
      </w:tr>
      <w:tr w:rsidR="0005677E" w14:paraId="07F7DD03" w14:textId="77777777" w:rsidTr="00056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303AE9D2" w14:textId="77777777" w:rsidR="0005677E" w:rsidRDefault="0005677E"/>
        </w:tc>
        <w:tc>
          <w:tcPr>
            <w:tcW w:w="1949" w:type="dxa"/>
          </w:tcPr>
          <w:p w14:paraId="5F28E931" w14:textId="77777777" w:rsidR="0005677E" w:rsidRDefault="00056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9" w:type="dxa"/>
          </w:tcPr>
          <w:p w14:paraId="3F86D6B7" w14:textId="77777777" w:rsidR="000567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Better Energy Homes</w:t>
            </w:r>
          </w:p>
        </w:tc>
        <w:tc>
          <w:tcPr>
            <w:tcW w:w="1949" w:type="dxa"/>
          </w:tcPr>
          <w:p w14:paraId="32E8031F" w14:textId="77777777" w:rsidR="000567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€60,220</w:t>
            </w:r>
          </w:p>
        </w:tc>
        <w:tc>
          <w:tcPr>
            <w:tcW w:w="1949" w:type="dxa"/>
          </w:tcPr>
          <w:p w14:paraId="09CC9189" w14:textId="77777777" w:rsidR="000567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€23,710</w:t>
            </w:r>
          </w:p>
        </w:tc>
      </w:tr>
      <w:tr w:rsidR="0005677E" w14:paraId="21C0C787" w14:textId="77777777" w:rsidTr="00056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4AE65DF5" w14:textId="77777777" w:rsidR="0005677E" w:rsidRDefault="00000000">
            <w:r>
              <w:rPr>
                <w:color w:val="1E293B"/>
                <w:sz w:val="19"/>
              </w:rPr>
              <w:t>02 Phibsborough, Dublin 7</w:t>
            </w:r>
          </w:p>
        </w:tc>
        <w:tc>
          <w:tcPr>
            <w:tcW w:w="1949" w:type="dxa"/>
          </w:tcPr>
          <w:p w14:paraId="02AF5DBE" w14:textId="77777777" w:rsidR="000567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Mid-terrace, two-storey, 86m², 1941–77, BER E→A.</w:t>
            </w:r>
          </w:p>
        </w:tc>
        <w:tc>
          <w:tcPr>
            <w:tcW w:w="1949" w:type="dxa"/>
          </w:tcPr>
          <w:p w14:paraId="1CABFE6B" w14:textId="77777777" w:rsidR="000567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One Stop Shop</w:t>
            </w:r>
          </w:p>
        </w:tc>
        <w:tc>
          <w:tcPr>
            <w:tcW w:w="1949" w:type="dxa"/>
          </w:tcPr>
          <w:p w14:paraId="0D4C11CA" w14:textId="77777777" w:rsidR="000567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€51,034</w:t>
            </w:r>
          </w:p>
        </w:tc>
        <w:tc>
          <w:tcPr>
            <w:tcW w:w="1949" w:type="dxa"/>
          </w:tcPr>
          <w:p w14:paraId="3A531E5E" w14:textId="77777777" w:rsidR="000567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€22,350</w:t>
            </w:r>
          </w:p>
        </w:tc>
      </w:tr>
      <w:tr w:rsidR="0005677E" w14:paraId="2351A025" w14:textId="77777777" w:rsidTr="00056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7BB3558A" w14:textId="77777777" w:rsidR="0005677E" w:rsidRDefault="0005677E"/>
        </w:tc>
        <w:tc>
          <w:tcPr>
            <w:tcW w:w="1949" w:type="dxa"/>
          </w:tcPr>
          <w:p w14:paraId="29E5849F" w14:textId="77777777" w:rsidR="0005677E" w:rsidRDefault="000567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9" w:type="dxa"/>
          </w:tcPr>
          <w:p w14:paraId="651D9A68" w14:textId="77777777" w:rsidR="000567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CEG</w:t>
            </w:r>
          </w:p>
        </w:tc>
        <w:tc>
          <w:tcPr>
            <w:tcW w:w="1949" w:type="dxa"/>
          </w:tcPr>
          <w:p w14:paraId="3BB96F08" w14:textId="77777777" w:rsidR="000567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€45,836</w:t>
            </w:r>
          </w:p>
        </w:tc>
        <w:tc>
          <w:tcPr>
            <w:tcW w:w="1949" w:type="dxa"/>
          </w:tcPr>
          <w:p w14:paraId="53E56B49" w14:textId="77777777" w:rsidR="000567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€22,350</w:t>
            </w:r>
          </w:p>
        </w:tc>
      </w:tr>
      <w:tr w:rsidR="0005677E" w14:paraId="223AFF3C" w14:textId="77777777" w:rsidTr="00056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0D797001" w14:textId="77777777" w:rsidR="0005677E" w:rsidRDefault="0005677E"/>
        </w:tc>
        <w:tc>
          <w:tcPr>
            <w:tcW w:w="1949" w:type="dxa"/>
          </w:tcPr>
          <w:p w14:paraId="06CA918F" w14:textId="77777777" w:rsidR="0005677E" w:rsidRDefault="000567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49" w:type="dxa"/>
          </w:tcPr>
          <w:p w14:paraId="243EE175" w14:textId="77777777" w:rsidR="000567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Better Energy Homes</w:t>
            </w:r>
          </w:p>
        </w:tc>
        <w:tc>
          <w:tcPr>
            <w:tcW w:w="1949" w:type="dxa"/>
          </w:tcPr>
          <w:p w14:paraId="1B5C1C6C" w14:textId="77777777" w:rsidR="000567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€41,886</w:t>
            </w:r>
          </w:p>
        </w:tc>
        <w:tc>
          <w:tcPr>
            <w:tcW w:w="1949" w:type="dxa"/>
          </w:tcPr>
          <w:p w14:paraId="37BB29AF" w14:textId="77777777" w:rsidR="000567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€19,550</w:t>
            </w:r>
          </w:p>
        </w:tc>
      </w:tr>
    </w:tbl>
    <w:p w14:paraId="4C5E6069" w14:textId="77777777" w:rsidR="0005677E" w:rsidRDefault="00000000">
      <w:pPr>
        <w:spacing w:after="120"/>
      </w:pPr>
      <w:r>
        <w:rPr>
          <w:b/>
          <w:color w:val="1E293B"/>
        </w:rPr>
        <w:t>Why the totals differ by route.</w:t>
      </w:r>
      <w:r>
        <w:t xml:space="preserve"> Running a retrofit and claiming the grants costs money, and</w:t>
      </w:r>
    </w:p>
    <w:p w14:paraId="5BA57E26" w14:textId="77777777" w:rsidR="0005677E" w:rsidRDefault="00000000">
      <w:pPr>
        <w:spacing w:after="120"/>
      </w:pPr>
      <w:r>
        <w:t>the Cost Plan prices it rather than leaving it out. A CEG Project Coordinator itemises it as a</w:t>
      </w:r>
    </w:p>
    <w:p w14:paraId="76E5681F" w14:textId="77777777" w:rsidR="0005677E" w:rsidRDefault="00000000">
      <w:pPr>
        <w:spacing w:after="120"/>
      </w:pPr>
      <w:r>
        <w:t>grant administration charge — a fixed amount plus a charge per grant measure (€4,600 at Westport,</w:t>
      </w:r>
    </w:p>
    <w:p w14:paraId="59D851D0" w14:textId="77777777" w:rsidR="0005677E" w:rsidRDefault="00000000">
      <w:pPr>
        <w:spacing w:after="120"/>
      </w:pPr>
      <w:r>
        <w:t>€4,250 at Dublin, VAT included). A One Stop Shop does not itemise it, because it sits inside</w:t>
      </w:r>
    </w:p>
    <w:p w14:paraId="5AC78FC6" w14:textId="77777777" w:rsidR="0005677E" w:rsidRDefault="00000000">
      <w:pPr>
        <w:spacing w:after="120"/>
      </w:pPr>
      <w:r>
        <w:t>their single all-in price, so the plan carries the same coordinator basis plus an uplift on the</w:t>
      </w:r>
    </w:p>
    <w:p w14:paraId="34E37865" w14:textId="77777777" w:rsidR="0005677E" w:rsidRDefault="00000000">
      <w:pPr>
        <w:spacing w:after="120"/>
      </w:pPr>
      <w:r>
        <w:t>works — currently 12.5%, the midpoint of an expected 10–15% range — reflecting that one provider</w:t>
      </w:r>
    </w:p>
    <w:p w14:paraId="158E8FE3" w14:textId="77777777" w:rsidR="0005677E" w:rsidRDefault="00000000">
      <w:pPr>
        <w:spacing w:after="120"/>
      </w:pPr>
      <w:r>
        <w:t>carrying the whole job prices above a coordinated project where contractors still compete. That</w:t>
      </w:r>
    </w:p>
    <w:p w14:paraId="1932BF19" w14:textId="77777777" w:rsidR="0005677E" w:rsidRDefault="00000000">
      <w:pPr>
        <w:spacing w:after="120"/>
      </w:pPr>
      <w:r>
        <w:t>uplift is a working assumption, labelled provisional on every plan, and evidencing it is a named</w:t>
      </w:r>
    </w:p>
    <w:p w14:paraId="4AD9EE6F" w14:textId="77777777" w:rsidR="0005677E" w:rsidRDefault="00000000">
      <w:pPr>
        <w:spacing w:after="120"/>
      </w:pPr>
      <w:r>
        <w:t>job of the pilot. Under Better Energy Homes the homeowner does the administration themselves and</w:t>
      </w:r>
    </w:p>
    <w:p w14:paraId="259CF5B0" w14:textId="77777777" w:rsidR="0005677E" w:rsidRDefault="00000000">
      <w:pPr>
        <w:spacing w:after="120"/>
      </w:pPr>
      <w:r>
        <w:t>there is no charge. The project management grant offsets part of it on the managed routes.</w:t>
      </w:r>
    </w:p>
    <w:p w14:paraId="118A20DB" w14:textId="77777777" w:rsidR="0005677E" w:rsidRDefault="00000000">
      <w:pPr>
        <w:spacing w:after="120"/>
      </w:pPr>
      <w:r>
        <w:t>The routes therefore order as expected — One Stop Shop highest, then CEG, then Better Energy</w:t>
      </w:r>
    </w:p>
    <w:p w14:paraId="7B1B22B5" w14:textId="77777777" w:rsidR="0005677E" w:rsidRDefault="00000000">
      <w:pPr>
        <w:spacing w:after="120"/>
      </w:pPr>
      <w:r>
        <w:lastRenderedPageBreak/>
        <w:t>Homes — but the size of the One Stop Shop uplift is one of the things the pilot is</w:t>
      </w:r>
    </w:p>
    <w:p w14:paraId="5B0F7FF3" w14:textId="77777777" w:rsidR="0005677E" w:rsidRDefault="00000000">
      <w:pPr>
        <w:spacing w:after="120"/>
      </w:pPr>
      <w:r>
        <w:t>designed to measure.</w:t>
      </w:r>
    </w:p>
    <w:p w14:paraId="7CAC7367" w14:textId="77777777" w:rsidR="0005677E" w:rsidRDefault="00000000">
      <w:pPr>
        <w:spacing w:after="120"/>
      </w:pPr>
      <w:r>
        <w:rPr>
          <w:b/>
          <w:color w:val="1E293B"/>
        </w:rPr>
        <w:t>What the Westport example shows.</w:t>
      </w:r>
      <w:r>
        <w:t xml:space="preserve"> It has both ceiling-level and rafter-level insulation.</w:t>
      </w:r>
    </w:p>
    <w:p w14:paraId="7ED4265B" w14:textId="77777777" w:rsidR="0005677E" w:rsidRDefault="00000000">
      <w:pPr>
        <w:spacing w:after="120"/>
      </w:pPr>
      <w:r>
        <w:t>Under One Stop Shop and CEG the rafter section attracts the €3,000 rafter grant; under Better</w:t>
      </w:r>
    </w:p>
    <w:p w14:paraId="2BD07FA6" w14:textId="77777777" w:rsidR="0005677E" w:rsidRDefault="00000000">
      <w:pPr>
        <w:spacing w:after="120"/>
      </w:pPr>
      <w:r>
        <w:t>Energy Homes, which has no rafter grant, the same works claim the €2,000 attic rate. Only one</w:t>
      </w:r>
    </w:p>
    <w:p w14:paraId="78BDD041" w14:textId="77777777" w:rsidR="0005677E" w:rsidRDefault="00000000">
      <w:pPr>
        <w:spacing w:after="120"/>
      </w:pPr>
      <w:r>
        <w:t>roof grant is payable in either case. The CEG plan carries the project-specific caveat, because</w:t>
      </w:r>
    </w:p>
    <w:p w14:paraId="24EB3C5C" w14:textId="77777777" w:rsidR="0005677E" w:rsidRDefault="00000000">
      <w:pPr>
        <w:spacing w:after="120"/>
      </w:pPr>
      <w:r>
        <w:t>CEG publishes no fixed table.</w:t>
      </w:r>
    </w:p>
    <w:p w14:paraId="6F775AE1" w14:textId="77777777" w:rsidR="0005677E" w:rsidRDefault="00000000">
      <w:pPr>
        <w:spacing w:after="120"/>
      </w:pPr>
      <w:r>
        <w:rPr>
          <w:b/>
          <w:color w:val="1E293B"/>
        </w:rPr>
        <w:t>Files</w:t>
      </w:r>
      <w:r>
        <w:t xml:space="preserve"> — each is a single Retrofit Cost Plan. Page 1 is the homeowner summary; the pages that</w:t>
      </w:r>
    </w:p>
    <w:p w14:paraId="50E65230" w14:textId="77777777" w:rsidR="0005677E" w:rsidRDefault="00000000">
      <w:pPr>
        <w:spacing w:after="120"/>
      </w:pPr>
      <w:r>
        <w:t>follow are the methodology and the itemised appendix behind it.</w:t>
      </w:r>
    </w:p>
    <w:p w14:paraId="2EEBDD5F" w14:textId="77777777" w:rsidR="0005677E" w:rsidRDefault="00000000">
      <w:pPr>
        <w:pStyle w:val="ListBullet"/>
      </w:pPr>
      <w:r>
        <w:t>01_Westport_Mayo_OneStopShop_RetrofitCostPlan.pdf</w:t>
      </w:r>
    </w:p>
    <w:p w14:paraId="29984880" w14:textId="77777777" w:rsidR="0005677E" w:rsidRDefault="00000000">
      <w:pPr>
        <w:pStyle w:val="ListBullet"/>
      </w:pPr>
      <w:r>
        <w:t>01_Westport_Mayo_CEG_RetrofitCostPlan.pdf</w:t>
      </w:r>
    </w:p>
    <w:p w14:paraId="522218D0" w14:textId="77777777" w:rsidR="0005677E" w:rsidRDefault="00000000">
      <w:pPr>
        <w:pStyle w:val="ListBullet"/>
      </w:pPr>
      <w:r>
        <w:t>01_Westport_Mayo_BetterEnergyHomes_RetrofitCostPlan.pdf</w:t>
      </w:r>
    </w:p>
    <w:p w14:paraId="011EB3E4" w14:textId="77777777" w:rsidR="0005677E" w:rsidRDefault="00000000">
      <w:pPr>
        <w:pStyle w:val="ListBullet"/>
      </w:pPr>
      <w:r>
        <w:t>02_Dublin7_OneStopShop_RetrofitCostPlan.pdf</w:t>
      </w:r>
    </w:p>
    <w:p w14:paraId="11E7DA84" w14:textId="77777777" w:rsidR="0005677E" w:rsidRDefault="00000000">
      <w:pPr>
        <w:pStyle w:val="ListBullet"/>
      </w:pPr>
      <w:r>
        <w:t>02_Dublin7_CEG_RetrofitCostPlan.pdf</w:t>
      </w:r>
    </w:p>
    <w:p w14:paraId="06B6C5A3" w14:textId="77777777" w:rsidR="0005677E" w:rsidRDefault="00000000">
      <w:pPr>
        <w:pStyle w:val="ListBullet"/>
      </w:pPr>
      <w:r>
        <w:t>02_Dublin7_BetterEnergyHomes_RetrofitCostPlan.pdf</w:t>
      </w:r>
    </w:p>
    <w:p w14:paraId="2CC8A85D" w14:textId="77777777" w:rsidR="0005677E" w:rsidRDefault="00000000">
      <w:pPr>
        <w:spacing w:before="280" w:after="80"/>
      </w:pPr>
      <w:r>
        <w:rPr>
          <w:b/>
          <w:color w:val="B07D1A"/>
          <w:sz w:val="30"/>
        </w:rPr>
        <w:t>3. The engine — screenshots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05677E" w14:paraId="6730FAD0" w14:textId="77777777" w:rsidTr="000567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8EFC513" w14:textId="77777777" w:rsidR="0005677E" w:rsidRDefault="00000000">
            <w:r>
              <w:rPr>
                <w:sz w:val="19"/>
              </w:rPr>
              <w:t>File</w:t>
            </w:r>
          </w:p>
        </w:tc>
        <w:tc>
          <w:tcPr>
            <w:tcW w:w="4873" w:type="dxa"/>
          </w:tcPr>
          <w:p w14:paraId="11683E76" w14:textId="77777777" w:rsidR="0005677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Shows</w:t>
            </w:r>
          </w:p>
        </w:tc>
      </w:tr>
      <w:tr w:rsidR="0005677E" w14:paraId="1D2B2F3D" w14:textId="77777777" w:rsidTr="00056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D12D9C3" w14:textId="77777777" w:rsidR="0005677E" w:rsidRDefault="00000000">
            <w:r>
              <w:rPr>
                <w:color w:val="1E293B"/>
                <w:sz w:val="19"/>
              </w:rPr>
              <w:t>ENGINE_A_project_and_grant_route.png</w:t>
            </w:r>
          </w:p>
        </w:tc>
        <w:tc>
          <w:tcPr>
            <w:tcW w:w="4873" w:type="dxa"/>
          </w:tcPr>
          <w:p w14:paraId="3738E80E" w14:textId="77777777" w:rsidR="000567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Project setup: dwelling, county and the three grant routes</w:t>
            </w:r>
          </w:p>
        </w:tc>
      </w:tr>
      <w:tr w:rsidR="0005677E" w14:paraId="58E4AA99" w14:textId="77777777" w:rsidTr="00056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CBFFBF2" w14:textId="77777777" w:rsidR="0005677E" w:rsidRDefault="00000000">
            <w:r>
              <w:rPr>
                <w:color w:val="1E293B"/>
                <w:sz w:val="19"/>
              </w:rPr>
              <w:t>ENGINE_B_geometry_input_floors.png</w:t>
            </w:r>
          </w:p>
        </w:tc>
        <w:tc>
          <w:tcPr>
            <w:tcW w:w="4873" w:type="dxa"/>
          </w:tcPr>
          <w:p w14:paraId="0C314304" w14:textId="77777777" w:rsidR="000567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Measurements — floor sections entered from the survey; the status rail totals them live</w:t>
            </w:r>
          </w:p>
        </w:tc>
      </w:tr>
      <w:tr w:rsidR="0005677E" w14:paraId="1D68414C" w14:textId="77777777" w:rsidTr="00056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771879F" w14:textId="77777777" w:rsidR="0005677E" w:rsidRDefault="00000000">
            <w:r>
              <w:rPr>
                <w:color w:val="1E293B"/>
                <w:sz w:val="19"/>
              </w:rPr>
              <w:t>ENGINE_C_geometry_input_roof.png</w:t>
            </w:r>
          </w:p>
        </w:tc>
        <w:tc>
          <w:tcPr>
            <w:tcW w:w="4873" w:type="dxa"/>
          </w:tcPr>
          <w:p w14:paraId="396CC903" w14:textId="77777777" w:rsidR="000567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Measurements — roof sections by type; the Westport case, ceiling level and rafter level on one house</w:t>
            </w:r>
          </w:p>
        </w:tc>
      </w:tr>
      <w:tr w:rsidR="0005677E" w14:paraId="3C35383C" w14:textId="77777777" w:rsidTr="00056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39DC5D8" w14:textId="77777777" w:rsidR="0005677E" w:rsidRDefault="00000000">
            <w:r>
              <w:rPr>
                <w:color w:val="1E293B"/>
                <w:sz w:val="19"/>
              </w:rPr>
              <w:t>ENGINE_D_works_selector_HLI.png</w:t>
            </w:r>
          </w:p>
        </w:tc>
        <w:tc>
          <w:tcPr>
            <w:tcW w:w="4873" w:type="dxa"/>
          </w:tcPr>
          <w:p w14:paraId="16BBC304" w14:textId="77777777" w:rsidR="000567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Works selector: BER pathway, Heat Loss Indicator and live design heat load, which sizes the heat pump</w:t>
            </w:r>
          </w:p>
        </w:tc>
      </w:tr>
      <w:tr w:rsidR="0005677E" w14:paraId="4A3BC633" w14:textId="77777777" w:rsidTr="00056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0BB3015" w14:textId="77777777" w:rsidR="0005677E" w:rsidRDefault="00000000">
            <w:r>
              <w:rPr>
                <w:color w:val="1E293B"/>
                <w:sz w:val="19"/>
              </w:rPr>
              <w:t>ENGINE_E_measures_and_grant_caps.png</w:t>
            </w:r>
          </w:p>
        </w:tc>
        <w:tc>
          <w:tcPr>
            <w:tcW w:w="4873" w:type="dxa"/>
          </w:tcPr>
          <w:p w14:paraId="0830911D" w14:textId="77777777" w:rsidR="000567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Measure bundles expanded — sub-options and the SEAI grant cap against each measure</w:t>
            </w:r>
          </w:p>
        </w:tc>
      </w:tr>
      <w:tr w:rsidR="0005677E" w14:paraId="57D2546B" w14:textId="77777777" w:rsidTr="00056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22F62FF" w14:textId="77777777" w:rsidR="0005677E" w:rsidRDefault="00000000">
            <w:r>
              <w:rPr>
                <w:color w:val="1E293B"/>
                <w:sz w:val="19"/>
              </w:rPr>
              <w:t>ENGINE_F_cost_plan_onscreen.png</w:t>
            </w:r>
          </w:p>
        </w:tc>
        <w:tc>
          <w:tcPr>
            <w:tcW w:w="4873" w:type="dxa"/>
          </w:tcPr>
          <w:p w14:paraId="1EF5D3FD" w14:textId="77777777" w:rsidR="000567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Generated Retrofit Cost Plan: pricing basis, estimated spend, actual spend and grants</w:t>
            </w:r>
          </w:p>
        </w:tc>
      </w:tr>
      <w:tr w:rsidR="0005677E" w14:paraId="1619F4EE" w14:textId="77777777" w:rsidTr="00056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AFD7FF6" w14:textId="77777777" w:rsidR="0005677E" w:rsidRDefault="00000000">
            <w:r>
              <w:rPr>
                <w:color w:val="1E293B"/>
                <w:sz w:val="19"/>
              </w:rPr>
              <w:t>ENGINE_G_cost_plan_rows.png</w:t>
            </w:r>
          </w:p>
        </w:tc>
        <w:tc>
          <w:tcPr>
            <w:tcW w:w="4873" w:type="dxa"/>
          </w:tcPr>
          <w:p w14:paraId="2A22DA35" w14:textId="77777777" w:rsidR="000567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Measure rows in detail</w:t>
            </w:r>
          </w:p>
        </w:tc>
      </w:tr>
      <w:tr w:rsidR="0005677E" w14:paraId="65B3C6F7" w14:textId="77777777" w:rsidTr="00056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CD6017C" w14:textId="77777777" w:rsidR="0005677E" w:rsidRDefault="00000000">
            <w:r>
              <w:rPr>
                <w:color w:val="1E293B"/>
                <w:sz w:val="19"/>
              </w:rPr>
              <w:t>ENGINE_H_grants_one_stop_shop.png</w:t>
            </w:r>
          </w:p>
        </w:tc>
        <w:tc>
          <w:tcPr>
            <w:tcW w:w="4873" w:type="dxa"/>
          </w:tcPr>
          <w:p w14:paraId="3903E6A3" w14:textId="77777777" w:rsidR="000567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Rate Settings — One Stop Shop grant table, editable by dwelling type</w:t>
            </w:r>
          </w:p>
        </w:tc>
      </w:tr>
      <w:tr w:rsidR="0005677E" w14:paraId="27A26EC1" w14:textId="77777777" w:rsidTr="000567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CE4E412" w14:textId="77777777" w:rsidR="0005677E" w:rsidRDefault="00000000">
            <w:r>
              <w:rPr>
                <w:color w:val="1E293B"/>
                <w:sz w:val="19"/>
              </w:rPr>
              <w:t>ENGINE_I_grants_CEG_and_admin_fee.png</w:t>
            </w:r>
          </w:p>
        </w:tc>
        <w:tc>
          <w:tcPr>
            <w:tcW w:w="4873" w:type="dxa"/>
          </w:tcPr>
          <w:p w14:paraId="340E676C" w14:textId="77777777" w:rsidR="0005677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Rate Settings — CEG grants and the editable scheme management / grant administration fee, with the warning that coordinator rates are required before figures are treated as confirmed</w:t>
            </w:r>
          </w:p>
        </w:tc>
      </w:tr>
      <w:tr w:rsidR="0005677E" w14:paraId="2C871994" w14:textId="77777777" w:rsidTr="00056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D7FB7C2" w14:textId="77777777" w:rsidR="0005677E" w:rsidRDefault="00000000">
            <w:r>
              <w:rPr>
                <w:color w:val="1E293B"/>
                <w:sz w:val="19"/>
              </w:rPr>
              <w:t>ENGINE_J_grants_better_energy_homes.png</w:t>
            </w:r>
          </w:p>
        </w:tc>
        <w:tc>
          <w:tcPr>
            <w:tcW w:w="4873" w:type="dxa"/>
          </w:tcPr>
          <w:p w14:paraId="47B9588E" w14:textId="77777777" w:rsidR="000567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Rate Settings — Better Energy Homes grant table</w:t>
            </w:r>
          </w:p>
        </w:tc>
      </w:tr>
      <w:tr w:rsidR="0005677E" w14:paraId="2C871994" w14:textId="77777777" w:rsidTr="00056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D7FB7C2" w14:textId="77777777" w:rsidR="0005677E" w:rsidRDefault="00000000">
            <w:r>
              <w:rPr>
                <w:color w:val="1E293B"/>
                <w:sz w:val="19"/>
              </w:rPr>
              <w:t>ENGINE_K_regional_multipliers.png</w:t>
            </w:r>
          </w:p>
        </w:tc>
        <w:tc>
          <w:tcPr>
            <w:tcW w:w="4873" w:type="dxa"/>
          </w:tcPr>
          <w:p w14:paraId="47B9588E" w14:textId="77777777" w:rsidR="000567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County labour multipliers (SCSI Regional Cost Supplement, August 2025)</w:t>
            </w:r>
          </w:p>
        </w:tc>
      </w:tr>
      <w:tr w:rsidR="0005677E" w14:paraId="2C871994" w14:textId="77777777" w:rsidTr="000567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D7FB7C2" w14:textId="77777777" w:rsidR="0005677E" w:rsidRDefault="00000000">
            <w:r>
              <w:rPr>
                <w:color w:val="1E293B"/>
                <w:sz w:val="19"/>
              </w:rPr>
              <w:t>ENGINE_L_rate_book.png</w:t>
            </w:r>
          </w:p>
        </w:tc>
        <w:tc>
          <w:tcPr>
            <w:tcW w:w="4873" w:type="dxa"/>
          </w:tcPr>
          <w:p w14:paraId="47B9588E" w14:textId="77777777" w:rsidR="0005677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Rate book — material rates with named trade sources, and the rate book version every plan is priced on</w:t>
            </w:r>
          </w:p>
        </w:tc>
      </w:tr>
    </w:tbl>
    <w:p w14:paraId="55ECFC03" w14:textId="77777777" w:rsidR="0005677E" w:rsidRDefault="00000000">
      <w:pPr>
        <w:spacing w:before="280" w:after="80"/>
      </w:pPr>
      <w:r>
        <w:rPr>
          <w:b/>
          <w:color w:val="B07D1A"/>
          <w:sz w:val="30"/>
        </w:rPr>
        <w:t>Basis of the figures</w:t>
      </w:r>
    </w:p>
    <w:p w14:paraId="7F8CD03C" w14:textId="77777777" w:rsidR="0005677E" w:rsidRDefault="00000000">
      <w:pPr>
        <w:spacing w:after="120"/>
      </w:pPr>
      <w:r>
        <w:t>Every Estimated Spend figure is fully loaded: materials, labour at county rates, contractor's</w:t>
      </w:r>
    </w:p>
    <w:p w14:paraId="581D8322" w14:textId="77777777" w:rsidR="0005677E" w:rsidRDefault="00000000">
      <w:pPr>
        <w:spacing w:after="120"/>
      </w:pPr>
      <w:r>
        <w:t>overhead and profit at 12%, contingency at 10%, and VAT at 13.5% (Solar PV at 0% per Revenue</w:t>
      </w:r>
    </w:p>
    <w:p w14:paraId="7F3C9A92" w14:textId="77777777" w:rsidR="0005677E" w:rsidRDefault="00000000">
      <w:pPr>
        <w:spacing w:after="120"/>
      </w:pPr>
      <w:r>
        <w:t>ruling, May 2023). Grant values follow the SEAI Domestic Energy Grant Listings and the SEAI</w:t>
      </w:r>
    </w:p>
    <w:p w14:paraId="5302D078" w14:textId="77777777" w:rsidR="0005677E" w:rsidRDefault="00000000">
      <w:pPr>
        <w:spacing w:after="120"/>
      </w:pPr>
      <w:r>
        <w:t>assessor notice of 27 January 2026.</w:t>
      </w:r>
    </w:p>
    <w:p w14:paraId="2E046822" w14:textId="77777777" w:rsidR="0005677E" w:rsidRDefault="00000000">
      <w:pPr>
        <w:spacing w:after="120"/>
      </w:pPr>
      <w:r>
        <w:lastRenderedPageBreak/>
        <w:t>Indicative accuracy ±15–20% — to be evidenced in pilot. Independent estimate — not prepared by</w:t>
      </w:r>
    </w:p>
    <w:p w14:paraId="7A1BA056" w14:textId="77777777" w:rsidR="0005677E" w:rsidRDefault="00000000">
      <w:pPr>
        <w:spacing w:after="120"/>
      </w:pPr>
      <w:r>
        <w:t>any contractor.</w:t>
      </w:r>
    </w:p>
    <w:sectPr w:rsidR="0005677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305520">
    <w:abstractNumId w:val="8"/>
  </w:num>
  <w:num w:numId="2" w16cid:durableId="1581669967">
    <w:abstractNumId w:val="6"/>
  </w:num>
  <w:num w:numId="3" w16cid:durableId="1913268054">
    <w:abstractNumId w:val="5"/>
  </w:num>
  <w:num w:numId="4" w16cid:durableId="114062662">
    <w:abstractNumId w:val="4"/>
  </w:num>
  <w:num w:numId="5" w16cid:durableId="1789280595">
    <w:abstractNumId w:val="7"/>
  </w:num>
  <w:num w:numId="6" w16cid:durableId="562521645">
    <w:abstractNumId w:val="3"/>
  </w:num>
  <w:num w:numId="7" w16cid:durableId="678316294">
    <w:abstractNumId w:val="2"/>
  </w:num>
  <w:num w:numId="8" w16cid:durableId="2052457092">
    <w:abstractNumId w:val="1"/>
  </w:num>
  <w:num w:numId="9" w16cid:durableId="1250309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77E"/>
    <w:rsid w:val="0006063C"/>
    <w:rsid w:val="001416BC"/>
    <w:rsid w:val="0015074B"/>
    <w:rsid w:val="0029639D"/>
    <w:rsid w:val="00326F90"/>
    <w:rsid w:val="00AA1D8D"/>
    <w:rsid w:val="00B47730"/>
    <w:rsid w:val="00CB0664"/>
    <w:rsid w:val="00CB59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EE944"/>
  <w14:defaultImageDpi w14:val="300"/>
  <w15:docId w15:val="{FDA9583B-A556-4BC1-AFEA-D7DC71E3A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Turley</cp:lastModifiedBy>
  <cp:revision>2</cp:revision>
  <dcterms:created xsi:type="dcterms:W3CDTF">2013-12-23T23:15:00Z</dcterms:created>
  <dcterms:modified xsi:type="dcterms:W3CDTF">2026-08-05T14:29:00Z</dcterms:modified>
  <cp:category/>
</cp:coreProperties>
</file>