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drawing>
          <wp:inline xmlns:a="http://schemas.openxmlformats.org/drawingml/2006/main" xmlns:pic="http://schemas.openxmlformats.org/drawingml/2006/picture">
            <wp:extent cx="1655999" cy="409175"/>
            <wp:docPr id="1" name="Picture 1"/>
            <wp:cNvGraphicFramePr>
              <a:graphicFrameLocks noChangeAspect="1"/>
            </wp:cNvGraphicFramePr>
            <a:graphic>
              <a:graphicData uri="http://schemas.openxmlformats.org/drawingml/2006/picture">
                <pic:pic>
                  <pic:nvPicPr>
                    <pic:cNvPr id="0" name="planitber-logo.png"/>
                    <pic:cNvPicPr/>
                  </pic:nvPicPr>
                  <pic:blipFill>
                    <a:blip r:embed="rId9"/>
                    <a:stretch>
                      <a:fillRect/>
                    </a:stretch>
                  </pic:blipFill>
                  <pic:spPr>
                    <a:xfrm>
                      <a:off x="0" y="0"/>
                      <a:ext cx="1655999" cy="409175"/>
                    </a:xfrm>
                    <a:prstGeom prst="rect"/>
                  </pic:spPr>
                </pic:pic>
              </a:graphicData>
            </a:graphic>
          </wp:inline>
        </w:drawing>
      </w:r>
    </w:p>
    <w:p>
      <w:r>
        <w:rPr>
          <w:b/>
          <w:color w:val="1E293B"/>
          <w:sz w:val="44"/>
        </w:rPr>
        <w:t>PlanitBER — Value Proposition</w:t>
      </w:r>
    </w:p>
    <w:p>
      <w:pPr>
        <w:spacing w:after="120"/>
      </w:pPr>
      <w:r>
        <w:rPr>
          <w:b/>
          <w:color w:val="1E293B"/>
        </w:rPr>
        <w:t>One cost language for Ireland's retrofit industry.</w:t>
      </w:r>
    </w:p>
    <w:p>
      <w:pPr>
        <w:spacing w:after="120"/>
      </w:pPr>
      <w:r>
        <w:t>Retrofit stalls at the point where the parties stop speaking the same language. The assessor recommends measures, the homeowner guesses at the cost, the contractor quotes against an undefined scope, the lender asks for evidence nobody can supply, and SEAI pays grants against figures that were never reconciled to anything.</w:t>
      </w:r>
    </w:p>
    <w:p>
      <w:pPr>
        <w:spacing w:after="120"/>
      </w:pPr>
      <w:r>
        <w:t xml:space="preserve">The </w:t>
      </w:r>
      <w:r>
        <w:rPr>
          <w:b/>
          <w:color w:val="1E293B"/>
        </w:rPr>
        <w:t>Retrofit Cost Plan</w:t>
      </w:r>
      <w:r>
        <w:t xml:space="preserve"> gives all of them one document, built on one published method, that each can read from their own side. It sets out the cost of every recommended measure, the SEAI grant against it, and the net figure the homeowner must fund — itemised in the format a quantity surveyor would use, and independent of anyone selling the works.</w:t>
      </w:r>
    </w:p>
    <w:p>
      <w:pPr>
        <w:spacing w:after="120"/>
      </w:pPr>
      <w:r>
        <w:t>It is produced by the BER assessor or One Stop Shop from the survey they have already carried out, using PlanitBER: software built by practising BER assessors, for the people who do this work every day.</w:t>
      </w:r>
    </w:p>
    <w:p>
      <w:pPr>
        <w:spacing w:after="120"/>
      </w:pPr>
      <w:r>
        <w:rPr>
          <w:b/>
          <w:color w:val="1E293B"/>
        </w:rPr>
        <w:t>What we are asking of SEAI:</w:t>
      </w:r>
      <w:r>
        <w:t xml:space="preserve"> a funded pilot partnership, leading to recognition of the Retrofit Cost Plan as a standard cost document for Irish home retrofit — and of PlanitBER as the means of producing it.</w:t>
      </w:r>
    </w:p>
    <w:p>
      <w:pPr>
        <w:spacing w:after="120"/>
      </w:pPr>
      <w:r>
        <w:t>The software is built and paid for. It is standalone: it needs no integration with SEAI systems and no change to DEAP. What we are seeking is a partner rather than a customer — support to run the pilot set out in Part 2, oversight of the costing methodology and the rate book behind it, and, if the evidence holds, endorsement of the result. SEAI should not put its name to a cost standard whose accuracy has not been independently evidenced. The pilot is what produces that evidence.</w:t>
      </w:r>
    </w:p>
    <w:p>
      <w:pPr>
        <w:spacing w:before="280" w:after="80"/>
      </w:pPr>
      <w:r>
        <w:rPr>
          <w:b/>
          <w:color w:val="B07D1A"/>
          <w:sz w:val="30"/>
        </w:rPr>
        <w:t>1. What It Is</w:t>
      </w:r>
    </w:p>
    <w:p>
      <w:pPr>
        <w:spacing w:before="200" w:after="60"/>
      </w:pPr>
      <w:r>
        <w:rPr>
          <w:b/>
          <w:color w:val="1E293B"/>
          <w:sz w:val="24"/>
        </w:rPr>
        <w:t>The problem</w:t>
      </w:r>
    </w:p>
    <w:p>
      <w:pPr>
        <w:spacing w:after="120"/>
      </w:pPr>
      <w:r>
        <w:t xml:space="preserve">Ireland has committed to retrofitting </w:t>
      </w:r>
      <w:r>
        <w:rPr>
          <w:b/>
          <w:color w:val="1E293B"/>
        </w:rPr>
        <w:t>500,000 homes to B2 or better by 2030</w:t>
      </w:r>
      <w:r>
        <w:t>, and completion rates are well behind target. The obstacle is not awareness, and it is not the level of grant support. It is that no two parties in a retrofit are working from the same number.</w:t>
      </w:r>
    </w:p>
    <w:p>
      <w:pPr>
        <w:pStyle w:val="ListBullet"/>
      </w:pPr>
      <w:r>
        <w:rPr>
          <w:b/>
          <w:color w:val="1E293B"/>
        </w:rPr>
        <w:t>The homeowner</w:t>
      </w:r>
      <w:r>
        <w:t xml:space="preserve"> is told what to upgrade but not what it costs. They cannot judge whether to proceed, apply for a grant or approach a bank, so the decision stalls at the budget question.</w:t>
      </w:r>
    </w:p>
    <w:p>
      <w:pPr>
        <w:pStyle w:val="ListBullet"/>
      </w:pPr>
      <w:r>
        <w:rPr>
          <w:b/>
          <w:color w:val="1E293B"/>
        </w:rPr>
        <w:t>The contractor</w:t>
      </w:r>
      <w:r>
        <w:t xml:space="preserve"> prices an undefined scope. They compete against quotes that look cheaper only because items were quietly left out, and spend unpaid hours on enquiries whose budget expectations were never realistic.</w:t>
      </w:r>
    </w:p>
    <w:p>
      <w:pPr>
        <w:pStyle w:val="ListBullet"/>
      </w:pPr>
      <w:r>
        <w:rPr>
          <w:b/>
          <w:color w:val="1E293B"/>
        </w:rPr>
        <w:t>The lender</w:t>
      </w:r>
      <w:r>
        <w:t xml:space="preserve"> is asked to finance a project with no independent evidence of what it should cost.</w:t>
      </w:r>
    </w:p>
    <w:p>
      <w:pPr>
        <w:pStyle w:val="ListBullet"/>
      </w:pPr>
      <w:r>
        <w:rPr>
          <w:b/>
          <w:color w:val="1E293B"/>
        </w:rPr>
        <w:t>SEAI</w:t>
      </w:r>
      <w:r>
        <w:t xml:space="preserve"> grant-aids measures without a consistent, verifiable statement of the works behind them.</w:t>
      </w:r>
    </w:p>
    <w:p>
      <w:pPr>
        <w:spacing w:after="120"/>
      </w:pPr>
      <w:r>
        <w:t>The result is suspicion running in both directions. The homeowner cannot tell a fair quote from an inflated one, and the contractor who prices honestly is penalised for it. What is missing is not policing. It is a common reference point.</w:t>
      </w:r>
    </w:p>
    <w:p>
      <w:pPr>
        <w:spacing w:before="200" w:after="60"/>
      </w:pPr>
      <w:r>
        <w:rPr>
          <w:b/>
          <w:color w:val="1E293B"/>
          <w:sz w:val="24"/>
        </w:rPr>
        <w:t>What the Retrofit Cost Plan does</w:t>
      </w:r>
    </w:p>
    <w:p>
      <w:pPr>
        <w:spacing w:after="120"/>
      </w:pPr>
      <w:r>
        <w:t>It is built from survey geometry the assessor has already measured — floor, wall, roof and window areas, age band and heat loss indicator — against a measure list that mirrors SEAI's grant structure.</w:t>
      </w:r>
    </w:p>
    <w:p>
      <w:pPr>
        <w:spacing w:after="120"/>
      </w:pPr>
      <w:r>
        <w:t>Every figure is fully loaded: county-adjusted labour rates, current Irish material pricing, contractor's overhead and profit at 12%, contingency at 10%, and VAT at 13.5% (Solar PV at 0% per Revenue ruling). Heat pumps are sized from the Heat Loss Indicator to IS EN 12831 rather than estimated from floor area.</w:t>
      </w:r>
    </w:p>
    <w:p>
      <w:pPr>
        <w:spacing w:after="120"/>
      </w:pPr>
      <w:r>
        <w:t>One document then serves every party:</w:t>
      </w:r>
    </w:p>
    <w:p>
      <w:pPr>
        <w:pStyle w:val="ListBullet"/>
      </w:pPr>
      <w:r>
        <w:rPr>
          <w:b/>
          <w:color w:val="1E293B"/>
        </w:rPr>
        <w:t>The homeowner</w:t>
      </w:r>
      <w:r>
        <w:t xml:space="preserve"> sees the cost of each measure, the grant against it, and the net figure they must fund.</w:t>
      </w:r>
    </w:p>
    <w:p>
      <w:pPr>
        <w:pStyle w:val="ListBullet"/>
      </w:pPr>
      <w:r>
        <w:rPr>
          <w:b/>
          <w:color w:val="1E293B"/>
        </w:rPr>
        <w:t>The contractor</w:t>
      </w:r>
      <w:r>
        <w:t xml:space="preserve"> prices a defined scope that every competitor is pricing too, with a published rate basis to stand over their figure when it is questioned.</w:t>
      </w:r>
    </w:p>
    <w:p>
      <w:pPr>
        <w:pStyle w:val="ListBullet"/>
      </w:pPr>
      <w:r>
        <w:rPr>
          <w:b/>
          <w:color w:val="1E293B"/>
        </w:rPr>
        <w:t>The lender</w:t>
      </w:r>
      <w:r>
        <w:t xml:space="preserve"> receives a consistent cost document that no contractor prepared.</w:t>
      </w:r>
    </w:p>
    <w:p>
      <w:pPr>
        <w:pStyle w:val="ListBullet"/>
      </w:pPr>
      <w:r>
        <w:rPr>
          <w:b/>
          <w:color w:val="1E293B"/>
        </w:rPr>
        <w:t>SEAI</w:t>
      </w:r>
      <w:r>
        <w:t xml:space="preserve"> gets a verifiable statement of intended works, and evidence of what those works actually cost.</w:t>
      </w:r>
    </w:p>
    <w:p>
      <w:pPr>
        <w:spacing w:before="200" w:after="60"/>
      </w:pPr>
      <w:r>
        <w:rPr>
          <w:b/>
          <w:color w:val="1E293B"/>
          <w:sz w:val="24"/>
        </w:rPr>
        <w:t>What it looks like</w:t>
      </w:r>
    </w:p>
    <w:p>
      <w:pPr>
        <w:spacing w:after="120"/>
      </w:pPr>
      <w:r>
        <w:t xml:space="preserve">The Retrofit Cost Plan is issued in two parts, </w:t>
      </w:r>
      <w:r>
        <w:rPr>
          <w:b/>
          <w:color w:val="1E293B"/>
        </w:rPr>
        <w:t>reconciling to the euro at every level</w:t>
      </w:r>
      <w:r>
        <w:t>:</w:t>
      </w:r>
    </w:p>
    <w:p>
      <w:pPr>
        <w:spacing w:after="80"/>
        <w:ind w:left="454" w:hanging="454"/>
      </w:pPr>
      <w:r>
        <w:rPr>
          <w:b/>
          <w:color w:val="1E293B"/>
        </w:rPr>
        <w:t xml:space="preserve">1.  </w:t>
      </w:r>
      <w:r>
        <w:rPr>
          <w:b/>
          <w:color w:val="1E293B"/>
        </w:rPr>
        <w:t>The Cost Plan (1–2 pages)</w:t>
      </w:r>
      <w:r>
        <w:t xml:space="preserve"> — one row per measure showing scope, estimated spend, SEAI grant and net cost to the homeowner, with an actual-spend column for tracking works as they progress. Written to be read by homeowner, lender and contractor alike.</w:t>
      </w:r>
    </w:p>
    <w:p>
      <w:pPr>
        <w:spacing w:after="80"/>
        <w:ind w:left="454" w:hanging="454"/>
      </w:pPr>
      <w:r>
        <w:rPr>
          <w:b/>
          <w:color w:val="1E293B"/>
        </w:rPr>
        <w:t xml:space="preserve">2.  </w:t>
      </w:r>
      <w:r>
        <w:rPr>
          <w:b/>
          <w:color w:val="1E293B"/>
        </w:rPr>
        <w:t>The Detailed Cost Plan</w:t>
      </w:r>
      <w:r>
        <w:t xml:space="preserve"> — the same table plus the pricing basis for each measure, the full loading methodology totalling to exactly the headline figure, and an itemised appendix giving every line item with its quantity, unit, material rate and labour rate. Any figure questioned can be traced from the headline down to a unit rate.</w:t>
      </w:r>
    </w:p>
    <w:p>
      <w:pPr>
        <w:spacing w:after="120"/>
      </w:pPr>
      <w:r>
        <w:t>Alongside these: a per-measure grant breakdown for Better Energy Homes and One Stop Shop at current rates, and the SEAI-registered trades the project requires.</w:t>
      </w:r>
    </w:p>
    <w:p>
      <w:pPr>
        <w:spacing w:before="200" w:after="60"/>
      </w:pPr>
      <w:r>
        <w:rPr>
          <w:b/>
          <w:color w:val="1E293B"/>
          <w:sz w:val="24"/>
        </w:rPr>
        <w:t>Who produces it, and who relies on it</w:t>
      </w:r>
    </w:p>
    <w:p>
      <w:pPr>
        <w:spacing w:after="120"/>
      </w:pPr>
      <w:r>
        <w:t xml:space="preserve">The Retrofit Cost Plan is </w:t>
      </w:r>
      <w:r>
        <w:rPr>
          <w:b/>
          <w:color w:val="1E293B"/>
        </w:rPr>
        <w:t>produced by the BER assessor or One Stop Shop</w:t>
      </w:r>
      <w:r>
        <w:t xml:space="preserve"> — the professionals who have already surveyed the home and hold the measurements. Everyone else works from the document they issue.</w:t>
      </w:r>
    </w:p>
    <w:tbl>
      <w:tblPr>
        <w:tblStyle w:val="LightGrid-Accent1"/>
        <w:tblW w:type="auto" w:w="0"/>
        <w:tblLook w:firstColumn="1" w:firstRow="1" w:lastColumn="0" w:lastRow="0" w:noHBand="0" w:noVBand="1" w:val="04A0"/>
      </w:tblPr>
      <w:tblGrid>
        <w:gridCol w:w="4873"/>
        <w:gridCol w:w="4873"/>
      </w:tblGrid>
      <w:tr>
        <w:tc>
          <w:tcPr>
            <w:tcW w:type="dxa" w:w="4873"/>
          </w:tcPr>
          <w:p>
            <w:r>
              <w:rPr>
                <w:b/>
                <w:sz w:val="19"/>
              </w:rPr>
              <w:t>Party</w:t>
            </w:r>
          </w:p>
        </w:tc>
        <w:tc>
          <w:tcPr>
            <w:tcW w:type="dxa" w:w="4873"/>
          </w:tcPr>
          <w:p>
            <w:r>
              <w:rPr>
                <w:b/>
                <w:sz w:val="19"/>
              </w:rPr>
              <w:t>How they use the Cost Plan</w:t>
            </w:r>
          </w:p>
        </w:tc>
      </w:tr>
      <w:tr>
        <w:tc>
          <w:tcPr>
            <w:tcW w:type="dxa" w:w="9746"/>
            <w:gridSpan w:val="2"/>
            <w:shd w:val="clear" w:color="auto" w:fill="1E293B"/>
          </w:tcPr>
          <w:p>
            <w:r>
              <w:rPr>
                <w:b/>
                <w:color w:val="FFFFFF"/>
                <w:sz w:val="17"/>
              </w:rPr>
              <w:t>PRODUCES THE COST PLAN</w:t>
            </w:r>
          </w:p>
        </w:tc>
      </w:tr>
      <w:tr>
        <w:tc>
          <w:tcPr>
            <w:tcW w:type="dxa" w:w="4873"/>
            <w:shd w:val="clear" w:color="auto" w:fill="FDF3E0"/>
          </w:tcPr>
          <w:p>
            <w:r>
              <w:rPr>
                <w:b/>
                <w:color w:val="1E293B"/>
                <w:sz w:val="19"/>
              </w:rPr>
              <w:t>BER Assessors</w:t>
            </w:r>
          </w:p>
        </w:tc>
        <w:tc>
          <w:tcPr>
            <w:tcW w:type="dxa" w:w="4873"/>
            <w:shd w:val="clear" w:color="auto" w:fill="FDF3E0"/>
          </w:tcPr>
          <w:p>
            <w:r>
              <w:rPr>
                <w:sz w:val="19"/>
              </w:rPr>
              <w:t>Add a costed plan to the improvement advice they already provide, issued with the BER documentation — turning an assessment into a complete, actionable conversation. Built by assessors, so it uses the survey already carried out and asks for no return visit.</w:t>
            </w:r>
          </w:p>
        </w:tc>
      </w:tr>
      <w:tr>
        <w:tc>
          <w:tcPr>
            <w:tcW w:type="dxa" w:w="4873"/>
            <w:shd w:val="clear" w:color="auto" w:fill="FDF3E0"/>
          </w:tcPr>
          <w:p>
            <w:r>
              <w:rPr>
                <w:b/>
                <w:color w:val="1E293B"/>
                <w:sz w:val="19"/>
              </w:rPr>
              <w:t>One Stop Shops</w:t>
            </w:r>
          </w:p>
        </w:tc>
        <w:tc>
          <w:tcPr>
            <w:tcW w:type="dxa" w:w="4873"/>
            <w:shd w:val="clear" w:color="auto" w:fill="FDF3E0"/>
          </w:tcPr>
          <w:p>
            <w:r>
              <w:rPr>
                <w:sz w:val="19"/>
              </w:rPr>
              <w:t>Produce feasibility costs and pre-qualify projects before committing to a full survey, then use the same document to set client expectations from the outset.</w:t>
            </w:r>
          </w:p>
        </w:tc>
      </w:tr>
      <w:tr>
        <w:tc>
          <w:tcPr>
            <w:tcW w:type="dxa" w:w="9746"/>
            <w:gridSpan w:val="2"/>
            <w:shd w:val="clear" w:color="auto" w:fill="1E293B"/>
          </w:tcPr>
          <w:p>
            <w:r>
              <w:rPr>
                <w:b/>
                <w:color w:val="FFFFFF"/>
                <w:sz w:val="17"/>
              </w:rPr>
              <w:t>RELIES ON IT</w:t>
            </w:r>
          </w:p>
        </w:tc>
      </w:tr>
      <w:tr>
        <w:tc>
          <w:tcPr>
            <w:tcW w:type="dxa" w:w="4873"/>
          </w:tcPr>
          <w:p>
            <w:r>
              <w:rPr>
                <w:b/>
                <w:color w:val="1E293B"/>
                <w:sz w:val="19"/>
              </w:rPr>
              <w:t>Homeowners</w:t>
            </w:r>
          </w:p>
        </w:tc>
        <w:tc>
          <w:tcPr>
            <w:tcW w:type="dxa" w:w="4873"/>
          </w:tcPr>
          <w:p>
            <w:r>
              <w:rPr>
                <w:sz w:val="19"/>
              </w:rPr>
              <w:t>Understand the real cost before engaging anyone. Compare quotes against an independent benchmark. Track spend as works progress.</w:t>
            </w:r>
          </w:p>
        </w:tc>
      </w:tr>
      <w:tr>
        <w:tc>
          <w:tcPr>
            <w:tcW w:type="dxa" w:w="4873"/>
          </w:tcPr>
          <w:p>
            <w:r>
              <w:rPr>
                <w:b/>
                <w:color w:val="1E293B"/>
                <w:sz w:val="19"/>
              </w:rPr>
              <w:t>Contractors</w:t>
            </w:r>
          </w:p>
        </w:tc>
        <w:tc>
          <w:tcPr>
            <w:tcW w:type="dxa" w:w="4873"/>
          </w:tcPr>
          <w:p>
            <w:r>
              <w:rPr>
                <w:sz w:val="19"/>
              </w:rPr>
              <w:t>Quote a defined scope that every competitor is pricing too, with a published rate basis to stand over their price. Fewer wasted site visits, fewer scope disputes, and homeowners who arrive ready to proceed.</w:t>
            </w:r>
          </w:p>
        </w:tc>
      </w:tr>
      <w:tr>
        <w:tc>
          <w:tcPr>
            <w:tcW w:type="dxa" w:w="4873"/>
          </w:tcPr>
          <w:p>
            <w:r>
              <w:rPr>
                <w:b/>
                <w:color w:val="1E293B"/>
                <w:sz w:val="19"/>
              </w:rPr>
              <w:t>Banks &amp; Credit Unions</w:t>
            </w:r>
          </w:p>
        </w:tc>
        <w:tc>
          <w:tcPr>
            <w:tcW w:type="dxa" w:w="4873"/>
          </w:tcPr>
          <w:p>
            <w:r>
              <w:rPr>
                <w:sz w:val="19"/>
              </w:rPr>
              <w:t>A consistent, contractor-independent cost document to support green loan and mortgage applications.</w:t>
            </w:r>
          </w:p>
        </w:tc>
      </w:tr>
      <w:tr>
        <w:tc>
          <w:tcPr>
            <w:tcW w:type="dxa" w:w="4873"/>
          </w:tcPr>
          <w:p>
            <w:r>
              <w:rPr>
                <w:b/>
                <w:color w:val="1E293B"/>
                <w:sz w:val="19"/>
              </w:rPr>
              <w:t>Local Authorities &amp; AHBs</w:t>
            </w:r>
          </w:p>
        </w:tc>
        <w:tc>
          <w:tcPr>
            <w:tcW w:type="dxa" w:w="4873"/>
          </w:tcPr>
          <w:p>
            <w:r>
              <w:rPr>
                <w:sz w:val="19"/>
              </w:rPr>
              <w:t>Rapid bulk estimation and budget forecasting for estate-wide retrofit programmes.</w:t>
            </w:r>
          </w:p>
        </w:tc>
      </w:tr>
      <w:tr>
        <w:tc>
          <w:tcPr>
            <w:tcW w:type="dxa" w:w="4873"/>
          </w:tcPr>
          <w:p>
            <w:r>
              <w:rPr>
                <w:b/>
                <w:color w:val="1E293B"/>
                <w:sz w:val="19"/>
              </w:rPr>
              <w:t>SEAI</w:t>
            </w:r>
          </w:p>
        </w:tc>
        <w:tc>
          <w:tcPr>
            <w:tcW w:type="dxa" w:w="4873"/>
          </w:tcPr>
          <w:p>
            <w:r>
              <w:rPr>
                <w:sz w:val="19"/>
              </w:rPr>
              <w:t>Real-market cost evidence to calibrate grant rates, and a consistent way to show homeowners what an upgrade genuinely costs.</w:t>
            </w:r>
          </w:p>
        </w:tc>
      </w:tr>
      <w:tr>
        <w:tc>
          <w:tcPr>
            <w:tcW w:type="dxa" w:w="4873"/>
          </w:tcPr>
          <w:p>
            <w:r>
              <w:rPr>
                <w:b/>
                <w:color w:val="1E293B"/>
                <w:sz w:val="19"/>
              </w:rPr>
              <w:t>Estate Agents &amp; Solicitors</w:t>
            </w:r>
          </w:p>
        </w:tc>
        <w:tc>
          <w:tcPr>
            <w:tcW w:type="dxa" w:w="4873"/>
          </w:tcPr>
          <w:p>
            <w:r>
              <w:rPr>
                <w:sz w:val="19"/>
              </w:rPr>
              <w:t>Retrofit cost disclosure on listings and during transactions.</w:t>
            </w:r>
          </w:p>
        </w:tc>
      </w:tr>
    </w:tbl>
    <w:p>
      <w:pPr>
        <w:spacing w:before="280" w:after="80"/>
      </w:pPr>
      <w:r>
        <w:rPr>
          <w:b/>
          <w:color w:val="B07D1A"/>
          <w:sz w:val="30"/>
        </w:rPr>
        <w:t>2. The Pilot</w:t>
      </w:r>
    </w:p>
    <w:p>
      <w:pPr>
        <w:spacing w:after="120"/>
      </w:pPr>
      <w:r>
        <w:t>The pilot turns the stated accuracy (±15–20%) into published evidence, and proves the Retrofit Cost Plan works in the field before SEAI puts its name to it.</w:t>
      </w:r>
    </w:p>
    <w:p>
      <w:pPr>
        <w:spacing w:after="120"/>
      </w:pPr>
      <w:r>
        <w:rPr>
          <w:b/>
          <w:color w:val="1E293B"/>
        </w:rPr>
        <w:t>Validate accuracy against real prices.</w:t>
      </w:r>
    </w:p>
    <w:p>
      <w:pPr>
        <w:spacing w:after="120"/>
      </w:pPr>
      <w:r>
        <w:t>Run 50–100 live projects through PlanitBER alongside actual contractor quotes and One Stop Shop pricing, spanning dwelling types, age bands, counties and both grant schemes. Publish the error distribution per measure, not merely an average. Where a measure prices consistently high or low, the rate book is corrected and the correction dated and recorded.</w:t>
      </w:r>
    </w:p>
    <w:p>
      <w:pPr>
        <w:spacing w:after="120"/>
      </w:pPr>
      <w:r>
        <w:rPr>
          <w:b/>
          <w:color w:val="1E293B"/>
        </w:rPr>
        <w:t>Prove the assessor workflow.</w:t>
      </w:r>
    </w:p>
    <w:p>
      <w:pPr>
        <w:spacing w:after="120"/>
      </w:pPr>
      <w:r>
        <w:t>Confirm assessors can produce a Cost Plan from a survey they have already carried out — without returning to the property, taking additional measurements, or applying specialist quantity surveying knowledge. Success is the Cost Plan issued to the homeowner alongside the BER documentation, as part of the same job rather than a separate exercise.</w:t>
      </w:r>
    </w:p>
    <w:p>
      <w:pPr>
        <w:spacing w:after="120"/>
      </w:pPr>
      <w:r>
        <w:rPr>
          <w:b/>
          <w:color w:val="1E293B"/>
        </w:rPr>
        <w:t>Capture the first actual-cost dataset.</w:t>
      </w:r>
    </w:p>
    <w:p>
      <w:pPr>
        <w:spacing w:after="120"/>
      </w:pPr>
      <w:r>
        <w:t>Estimated-versus-actual figures, per measure and per county, seed a record of retrofit out-turn costs that does not currently exist anywhere in the programme. Aggregated and anonymised, it is a direct output of the pilot.</w:t>
      </w:r>
    </w:p>
    <w:p>
      <w:pPr>
        <w:spacing w:after="120"/>
      </w:pPr>
      <w:r>
        <w:rPr>
          <w:b/>
          <w:color w:val="1E293B"/>
        </w:rPr>
        <w:t>Establish rate governance.</w:t>
      </w:r>
    </w:p>
    <w:p>
      <w:pPr>
        <w:spacing w:after="120"/>
      </w:pPr>
      <w:r>
        <w:t>Formalise the rate book: named sources (SEO National Wage Agreement, SCSI Regional Cost Supplement, Irish merchant pricing), a published review cycle aligned to SEAI's annual grant revisions, and a versioned change log. SEAI should be able to ask what the method assumed on any given date and receive an exact answer.</w:t>
      </w:r>
    </w:p>
    <w:p>
      <w:pPr>
        <w:spacing w:after="120"/>
      </w:pPr>
      <w:r>
        <w:rPr>
          <w:b/>
          <w:color w:val="1E293B"/>
        </w:rPr>
        <w:t>Success criteria, stated in advance:</w:t>
      </w:r>
      <w:r>
        <w:t xml:space="preserve"> measured accuracy within the published band on at least 80% of projects; a Cost Plan issued with the BER documentation on at least 90% of assessments, with no return visit required; a documented rate-correction cycle completed; and homeowner progression from assessment to grant application tracked against a comparison group.</w:t>
      </w:r>
    </w:p>
    <w:p>
      <w:pPr>
        <w:spacing w:after="120"/>
      </w:pPr>
      <w:r>
        <w:rPr>
          <w:b/>
          <w:color w:val="1E293B"/>
        </w:rPr>
        <w:t>Timeline.</w:t>
      </w:r>
      <w:r>
        <w:t xml:space="preserve"> Six months from approval: two months recruiting participating assessors and One Stop Shops, three months collecting projects with matched quotes and actual costs, and a final month for analysis and reporting.</w:t>
      </w:r>
    </w:p>
    <w:p>
      <w:pPr>
        <w:spacing w:before="200" w:after="60"/>
      </w:pPr>
      <w:r>
        <w:rPr>
          <w:b/>
          <w:color w:val="1E293B"/>
          <w:sz w:val="24"/>
        </w:rPr>
        <w:t>Funding, governance and risk</w:t>
      </w:r>
    </w:p>
    <w:p>
      <w:pPr>
        <w:spacing w:after="120"/>
      </w:pPr>
      <w:r>
        <w:rPr>
          <w:b/>
          <w:color w:val="1E293B"/>
        </w:rPr>
        <w:t>The funding ask.</w:t>
      </w:r>
      <w:r>
        <w:t xml:space="preserve"> We are asking SEAI to part-fund the pilot and deliver it with us: recruiting and supporting participating assessors and One Stop Shops, collecting and verifying matched quotes and out-turn costs across 50–100 homes, and independent analysis of the results. We are not asking SEAI to fund the building of PlanitBER — that is complete and paid for.</w:t>
      </w:r>
    </w:p>
    <w:p>
      <w:pPr>
        <w:spacing w:after="120"/>
      </w:pPr>
      <w:r>
        <w:t>Three reasons the pilot is worth SEAI's investment. It produces the evidence that would justify endorsement, which no responsible body should give without it. It produces a public asset: the first structured record of what Irish retrofits actually cost, which becomes SEAI's to hold and publish. And a pilot delivered jointly carries far more weight with assessors, contractors and lenders than one conducted by a private firm alone — which materially affects whether the sector adopts a common standard at all. We would welcome delivery under an existing pilot, research or demonstration programme, on whatever terms SEAI's procedures require.</w:t>
      </w:r>
    </w:p>
    <w:p>
      <w:pPr>
        <w:spacing w:after="120"/>
      </w:pPr>
      <w:r>
        <w:rPr>
          <w:b/>
          <w:color w:val="1E293B"/>
        </w:rPr>
        <w:t>SEAI oversight.</w:t>
      </w:r>
      <w:r>
        <w:t xml:space="preserve"> Standalone software does not have to mean unsupervised software. We would welcome a formal SEAI role in governing the method: the rate book, its sources and every revision made available for review, with all rate and loading changes published and dated. If SEAI would prefer to approve the rate book annually, or set parameters the method must apply, we would accept that as a condition of recognition.</w:t>
      </w:r>
    </w:p>
    <w:p>
      <w:pPr>
        <w:spacing w:after="120"/>
      </w:pPr>
      <w:r>
        <w:rPr>
          <w:b/>
          <w:color w:val="1E293B"/>
        </w:rPr>
        <w:t>Keeping it maintained.</w:t>
      </w:r>
      <w:r>
        <w:t xml:space="preserve"> A standard the sector relies on should not rest on one firm's goodwill. It needs a rate book kept current, governance that is documented, and someone accountable for both. We maintain PlanitBER at our own cost today and will do so throughout the pilot. If the Retrofit Cost Plan becomes national infrastructure, we would welcome agreeing a sustainable basis for maintaining and operating it under SEAI's oversight, so that its upkeep is funded and accountable rather than discretionary.</w:t>
      </w:r>
    </w:p>
    <w:p>
      <w:pPr>
        <w:spacing w:after="120"/>
      </w:pPr>
      <w:r>
        <w:rPr>
          <w:b/>
          <w:color w:val="1E293B"/>
        </w:rPr>
        <w:t>Access.</w:t>
      </w:r>
      <w:r>
        <w:t xml:space="preserve"> The Retrofit Cost Plan is free to homeowners. Assessors and One Stop Shops access PlanitBER under an annual licence. We take no commission, referral fee, lead-generation payment or contractor advertising from any party — independence from everyone selling the works is the point, and it will not be compromised.</w:t>
      </w:r>
    </w:p>
    <w:p>
      <w:pPr>
        <w:spacing w:after="120"/>
      </w:pPr>
      <w:r>
        <w:rPr>
          <w:b/>
          <w:color w:val="1E293B"/>
        </w:rPr>
        <w:t>Liability.</w:t>
      </w:r>
      <w:r>
        <w:t xml:space="preserve"> Every Cost Plan is labelled an indicative estimate — not a quotation, contract or guarantee of final cost — with the accuracy band printed on its face. Professional indemnity insurance is carried by Turley Energy Consultants. Recognition by SEAI would carry no liability for costs incurred by homeowners or contractors.</w:t>
      </w:r>
    </w:p>
    <w:p>
      <w:pPr>
        <w:spacing w:after="120"/>
      </w:pPr>
      <w:r>
        <w:rPr>
          <w:b/>
          <w:color w:val="1E293B"/>
        </w:rPr>
        <w:t>Data protection.</w:t>
      </w:r>
      <w:r>
        <w:t xml:space="preserve"> Project data remains with the assessor who created it. The dataset shared with SEAI is aggregated and anonymised — measure, dwelling type, county and cost only, with no address or personal data — and homeowner consent is obtained before any project's figures are included.</w:t>
      </w:r>
    </w:p>
    <w:p>
      <w:pPr>
        <w:spacing w:before="280" w:after="80"/>
      </w:pPr>
      <w:r>
        <w:rPr>
          <w:b/>
          <w:color w:val="B07D1A"/>
          <w:sz w:val="30"/>
        </w:rPr>
        <w:t>3. What It Can Become</w:t>
      </w:r>
    </w:p>
    <w:p>
      <w:pPr>
        <w:spacing w:after="120"/>
      </w:pPr>
      <w:r>
        <w:rPr>
          <w:b/>
          <w:color w:val="1E293B"/>
        </w:rPr>
        <w:t>Common ground for the sector.</w:t>
      </w:r>
    </w:p>
    <w:p>
      <w:pPr>
        <w:spacing w:after="120"/>
      </w:pPr>
      <w:r>
        <w:t>Ireland completes roughly 100,000 home energy assessments a year, and almost none of them leave the homeowner with a credible number. Recognition would make the Retrofit Cost Plan the consistent format in which that number is given — the same method, loading basis and grant treatment nationwide, whether the homeowner is in Dublin or Ballymote.</w:t>
      </w:r>
    </w:p>
    <w:p>
      <w:pPr>
        <w:spacing w:after="120"/>
      </w:pPr>
      <w:r>
        <w:t>The wider prize is alignment. Retrofit is delivered by professions that rarely share a document: assessors, contractors, One Stop Shops, lenders and SEAI each hold a different part of the picture, and none of it reconciles. A single recognised cost document changes that. The assessor's advice, the contractor's quote, the homeowner's budget, the lender's file and SEAI's grant all reference the same itemised scope and the same published rates. Disputes fall because there is something agreed to point at, and trust rises because everyone can see the same working. That is a benefit to the sector rather than a feature of a product, and it is why SEAI's endorsement matters more than any amount of marketing on our side.</w:t>
      </w:r>
    </w:p>
    <w:p>
      <w:pPr>
        <w:spacing w:after="120"/>
      </w:pPr>
      <w:r>
        <w:rPr>
          <w:b/>
          <w:color w:val="1E293B"/>
        </w:rPr>
        <w:t>A better deal for the people delivering retrofit.</w:t>
      </w:r>
    </w:p>
    <w:p>
      <w:pPr>
        <w:spacing w:after="120"/>
      </w:pPr>
      <w:r>
        <w:t xml:space="preserve">Assessors are best placed to produce this — they have already surveyed the home, already hold the measurements, and are already trusted to advise on improvements. The Retrofit Cost Plan extends that advice from </w:t>
      </w:r>
      <w:r>
        <w:rPr>
          <w:i/>
        </w:rPr>
        <w:t>what to do</w:t>
      </w:r>
      <w:r>
        <w:t xml:space="preserve"> to </w:t>
      </w:r>
      <w:r>
        <w:rPr>
          <w:i/>
        </w:rPr>
        <w:t>what it costs</w:t>
      </w:r>
      <w:r>
        <w:t>, using the survey already completed. That makes the assessment more valuable to the homeowner and more commercially attractive to the assessor.</w:t>
      </w:r>
    </w:p>
    <w:p>
      <w:pPr>
        <w:spacing w:after="120"/>
      </w:pPr>
      <w:r>
        <w:t>Contractors gain from the same document. When every quote prices the same itemised scope, the lowest price is genuinely the best value rather than the one that omitted the most. Site visits stop being wasted on enquiries that were never going to proceed. Mid-job disputes and variations fall because the scope was agreed in writing beforehand. And better-informed homeowners convert into work that would otherwise have stalled at the quote stage.</w:t>
      </w:r>
    </w:p>
    <w:p>
      <w:pPr>
        <w:spacing w:after="120"/>
      </w:pPr>
      <w:r>
        <w:rPr>
          <w:b/>
          <w:color w:val="1E293B"/>
        </w:rPr>
        <w:t>A national retrofit cost index.</w:t>
      </w:r>
    </w:p>
    <w:p>
      <w:pPr>
        <w:spacing w:after="120"/>
      </w:pPr>
      <w:r>
        <w:t>At scale, the estimated-versus-actual dataset becomes a live index of retrofit costs by measure, dwelling type and county — the reference SEAI needs to calibrate grant rates, identify regional price anomalies and demonstrate value for money. Nobody holds this data today, and the document producing the estimates is the natural instrument to collect the outcomes.</w:t>
      </w:r>
    </w:p>
    <w:p>
      <w:pPr>
        <w:spacing w:after="120"/>
      </w:pPr>
      <w:r>
        <w:rPr>
          <w:b/>
          <w:color w:val="1E293B"/>
        </w:rPr>
        <w:t>Where it goes next.</w:t>
      </w:r>
    </w:p>
    <w:p>
      <w:pPr>
        <w:spacing w:after="120"/>
      </w:pPr>
      <w:r>
        <w:t>Three developments follow naturally once accuracy is evidenced. SEAI's eligibility rules — year-of-construction thresholds, the post-works Heat Loss Indicator requirement for heat pump grants, measure-combination rules — can be built into the method, so a plan that prices a grant is a plan that qualifies for it. The Cost Plan becomes the standard supporting document for retrofit lending, which banks and credit unions currently lack. And, in time, it could support grant applications themselves: a consistent, itemised statement of intended works at application stage, and a benchmark against which final invoices can be sense-checked.</w:t>
      </w:r>
    </w:p>
    <w:p>
      <w:pPr>
        <w:spacing w:before="200" w:after="60"/>
      </w:pPr>
      <w:r>
        <w:rPr>
          <w:b/>
          <w:color w:val="1E293B"/>
          <w:sz w:val="24"/>
        </w:rPr>
        <w:t>The path we propose</w:t>
      </w:r>
    </w:p>
    <w:p>
      <w:pPr>
        <w:spacing w:after="80"/>
        <w:ind w:left="454" w:hanging="454"/>
      </w:pPr>
      <w:r>
        <w:rPr>
          <w:b/>
          <w:color w:val="1E293B"/>
        </w:rPr>
        <w:t xml:space="preserve">1.  </w:t>
      </w:r>
      <w:r>
        <w:rPr>
          <w:b/>
          <w:color w:val="1E293B"/>
        </w:rPr>
        <w:t>Funded pilot</w:t>
      </w:r>
      <w:r>
        <w:t xml:space="preserve"> — delivered in partnership with SEAI: accuracy report, actual-cost dataset and rate governance.</w:t>
      </w:r>
    </w:p>
    <w:p>
      <w:pPr>
        <w:spacing w:after="80"/>
        <w:ind w:left="454" w:hanging="454"/>
      </w:pPr>
      <w:r>
        <w:rPr>
          <w:b/>
          <w:color w:val="1E293B"/>
        </w:rPr>
        <w:t xml:space="preserve">2.  </w:t>
      </w:r>
      <w:r>
        <w:rPr>
          <w:b/>
          <w:color w:val="1E293B"/>
        </w:rPr>
        <w:t>Recognition</w:t>
      </w:r>
      <w:r>
        <w:t xml:space="preserve"> — the Retrofit Cost Plan recognised as a standard cost document, and PlanitBER as the means of producing it, backed by our published rate-maintenance commitment and whatever oversight arrangement SEAI wishes to put in place.</w:t>
      </w:r>
    </w:p>
    <w:p>
      <w:pPr>
        <w:spacing w:after="80"/>
        <w:ind w:left="454" w:hanging="454"/>
      </w:pPr>
      <w:r>
        <w:rPr>
          <w:b/>
          <w:color w:val="1E293B"/>
        </w:rPr>
        <w:t xml:space="preserve">3.  </w:t>
      </w:r>
      <w:r>
        <w:rPr>
          <w:b/>
          <w:color w:val="1E293B"/>
        </w:rPr>
        <w:t>Wider role</w:t>
      </w:r>
      <w:r>
        <w:t xml:space="preserve"> — subject to proven accuracy, use of the Cost Plan to support retrofit lending and, in time, grant applications.</w:t>
      </w:r>
    </w:p>
    <w:p>
      <w:pPr>
        <w:spacing w:after="120"/>
      </w:pPr>
      <w:r>
        <w:t>Each step produces something concrete — evidence, cost data, higher homeowner conversion — before the next is asked for.</w:t>
      </w:r>
    </w:p>
    <w:p>
      <w:pPr>
        <w:spacing w:after="120"/>
      </w:pPr>
      <w:r>
        <w:t>What we are seeking is a partner rather than a customer: joint delivery of the pilot, shared oversight of the method, findings that belong to the sector rather than to us, and a common cost document that assessors, contractors, lenders and homeowners all recognise. The retrofit sector needs a cost standard it can trust, and a standard the industry trusts is one SEAI stands over. We would rather build that with SEAI than alongside it.</w:t>
      </w:r>
    </w:p>
    <w:p>
      <w:pPr>
        <w:spacing w:after="120"/>
      </w:pPr>
      <w:r>
        <w:rPr>
          <w:i/>
        </w:rPr>
        <w:t>PlanitBER V1 · Turley Energy Consultants · Indicative accuracy ±15–20% (to be evidenced in pilot) · Independent estimate — not prepared by any contractor · Not a substitute for a formal QS report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7556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