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E293B"/>
          <w:sz w:val="44"/>
        </w:rPr>
        <w:t>PlanitBER — Value Proposition</w:t>
      </w:r>
    </w:p>
    <w:p>
      <w:pPr>
        <w:spacing w:after="120"/>
      </w:pPr>
      <w:r>
        <w:rPr>
          <w:b/>
          <w:color w:val="1E293B"/>
        </w:rPr>
        <w:t>Independent, instant retrofit costing for Irish homes.</w:t>
      </w:r>
    </w:p>
    <w:p>
      <w:pPr>
        <w:spacing w:after="120"/>
      </w:pPr>
      <w:r>
        <w:t>PlanitBER turns a completed home survey into a clear, grant-netted, finance-ready budget in under two minutes — itemised in the format a quantity surveyor would use, and independent of any contractor. It is built by practising BER assessors, for the people who do this work every day.</w:t>
      </w:r>
    </w:p>
    <w:p>
      <w:pPr>
        <w:spacing w:after="120"/>
      </w:pPr>
      <w:r>
        <w:rPr>
          <w:b/>
          <w:color w:val="1E293B"/>
        </w:rPr>
        <w:t>What we are asking of SEAI:</w:t>
      </w:r>
      <w:r>
        <w:t xml:space="preserve"> recognition and promotion of PlanitBER as an approved indicative costing tool, used by BER assessors, One Stop Shops and homeowners. PlanitBER is standalone software: it requires no integration with SEAI systems, no change to DEAP, and no development effort or expenditure on SEAI's side. Standalone does not mean unsupervised — we would welcome SEAI oversight of the costing methodology and rate book as a condition of that recognition (see </w:t>
      </w:r>
      <w:r>
        <w:rPr>
          <w:i/>
        </w:rPr>
        <w:t>Commercial basis, governance and risk</w:t>
      </w:r>
      <w:r>
        <w:t>).</w:t>
      </w:r>
    </w:p>
    <w:p>
      <w:pPr>
        <w:spacing w:before="280" w:after="80"/>
      </w:pPr>
      <w:r>
        <w:rPr>
          <w:b/>
          <w:color w:val="B07D1A"/>
          <w:sz w:val="30"/>
        </w:rPr>
        <w:t>1. What It Is</w:t>
      </w:r>
    </w:p>
    <w:p>
      <w:pPr>
        <w:spacing w:before="200" w:after="60"/>
      </w:pPr>
      <w:r>
        <w:rPr>
          <w:b/>
          <w:color w:val="1E293B"/>
          <w:sz w:val="24"/>
        </w:rPr>
        <w:t>The problem it solves</w:t>
      </w:r>
    </w:p>
    <w:p>
      <w:pPr>
        <w:spacing w:after="120"/>
      </w:pPr>
      <w:r>
        <w:t xml:space="preserve">Ireland has committed to retrofitting </w:t>
      </w:r>
      <w:r>
        <w:rPr>
          <w:b/>
          <w:color w:val="1E293B"/>
        </w:rPr>
        <w:t>500,000 homes to B2 or better by 2030</w:t>
      </w:r>
      <w:r>
        <w:t>. Current completion rates are well behind target. Three demand-side barriers explain why:</w:t>
      </w:r>
    </w:p>
    <w:p>
      <w:pPr>
        <w:spacing w:after="120"/>
      </w:pPr>
      <w:r>
        <w:rPr>
          <w:b/>
          <w:color w:val="1E293B"/>
        </w:rPr>
        <w:t>Cost uncertainty stops homeowners acting.</w:t>
      </w:r>
    </w:p>
    <w:p>
      <w:pPr>
        <w:spacing w:after="120"/>
      </w:pPr>
      <w:r>
        <w:t>A home energy assessment identifies what needs upgrading, but puts no price on it. Homeowners don't know whether the work in front of them means €8,000 or €80,000. Without a credible number they don't apply for grants, don't approach their bank, and don't proceed. The conversion from "interested" to "committed" breaks down at the budget question, and there is currently no trusted, independent answer to it.</w:t>
      </w:r>
    </w:p>
    <w:p>
      <w:pPr>
        <w:spacing w:after="120"/>
      </w:pPr>
      <w:r>
        <w:rPr>
          <w:b/>
          <w:color w:val="1E293B"/>
        </w:rPr>
        <w:t>Grant inflation erodes trust in the scheme.</w:t>
      </w:r>
    </w:p>
    <w:p>
      <w:pPr>
        <w:spacing w:after="120"/>
      </w:pPr>
      <w:r>
        <w:t>A widespread perception — well-founded in some cases — that contractors price to the gross figure and absorb the grant, leaving the homeowner no better off. Homeowners who believe the grant is a contractor bonus rather than a real saving will not participate. Every euro of grant that leaks into margin is a euro of Exchequer spend that bought no retrofit.</w:t>
      </w:r>
    </w:p>
    <w:p>
      <w:pPr>
        <w:spacing w:after="120"/>
      </w:pPr>
      <w:r>
        <w:rPr>
          <w:b/>
          <w:color w:val="1E293B"/>
        </w:rPr>
        <w:t>No bridge between assessment and action.</w:t>
      </w:r>
    </w:p>
    <w:p>
      <w:pPr>
        <w:spacing w:after="120"/>
      </w:pPr>
      <w:r>
        <w:t>An assessor visits, surveys the home, and advises on the improvements that would raise its rating. The homeowner is left with a list of recommendations and no way to act on them. The window in which they are most motivated closes before they have the one number they need.</w:t>
      </w:r>
    </w:p>
    <w:p>
      <w:pPr>
        <w:spacing w:before="200" w:after="60"/>
      </w:pPr>
      <w:r>
        <w:rPr>
          <w:b/>
          <w:color w:val="1E293B"/>
          <w:sz w:val="24"/>
        </w:rPr>
        <w:t>How it answers them</w:t>
      </w:r>
    </w:p>
    <w:p>
      <w:pPr>
        <w:spacing w:after="120"/>
      </w:pPr>
      <w:r>
        <w:t>PlanitBER builds an itemised, independent cost plan from survey geometry the assessor has already measured — floor, wall, roof and window areas, age band and heat loss indicator — against a measure list that mirrors SEAI's grant structure:</w:t>
      </w:r>
    </w:p>
    <w:p>
      <w:pPr>
        <w:pStyle w:val="ListBullet"/>
      </w:pPr>
      <w:r>
        <w:rPr>
          <w:b/>
          <w:color w:val="1E293B"/>
        </w:rPr>
        <w:t>Cost certainty.</w:t>
      </w:r>
      <w:r>
        <w:t xml:space="preserve"> An instant indicative budget, measure by measure, using county-adjusted labour rates and current Irish material pricing, with heat pump sizing derived from the Heat Loss Indicator (IS EN 12831). Every figure is fully loaded: contractor's overhead and profit at 12%, contingency at 10%, VAT at 13.5% (Solar PV at 0% per Revenue ruling).</w:t>
      </w:r>
    </w:p>
    <w:p>
      <w:pPr>
        <w:pStyle w:val="ListBullet"/>
      </w:pPr>
      <w:r>
        <w:rPr>
          <w:b/>
          <w:color w:val="1E293B"/>
        </w:rPr>
        <w:t>Grant transparency.</w:t>
      </w:r>
      <w:r>
        <w:t xml:space="preserve"> Gross costs are shown independently of any contractor, with SEAI grants deducted line by line and the net cost to the homeowner stated plainly. The document itself carries the message: </w:t>
      </w:r>
      <w:r>
        <w:rPr>
          <w:i/>
        </w:rPr>
        <w:t>contractors quote on the gross figures — grants reduce the homeowner's invoice, they do not justify inflated pricing.</w:t>
      </w:r>
      <w:r>
        <w:t xml:space="preserve"> A homeowner holding an independent benchmark is in a fundamentally stronger position.</w:t>
      </w:r>
    </w:p>
    <w:p>
      <w:pPr>
        <w:pStyle w:val="ListBullet"/>
      </w:pPr>
      <w:r>
        <w:rPr>
          <w:b/>
          <w:color w:val="1E293B"/>
        </w:rPr>
        <w:t>Assessment to action.</w:t>
      </w:r>
      <w:r>
        <w:t xml:space="preserve"> The assessor can produce the cost plan during the same visit and hand it over with the certificate, as the practical companion to the improvement advice they already give. The gap between recommendation and budget closes to zero.</w:t>
      </w:r>
    </w:p>
    <w:p>
      <w:pPr>
        <w:spacing w:before="200" w:after="60"/>
      </w:pPr>
      <w:r>
        <w:rPr>
          <w:b/>
          <w:color w:val="1E293B"/>
          <w:sz w:val="24"/>
        </w:rPr>
        <w:t>What it produces</w:t>
      </w:r>
    </w:p>
    <w:p>
      <w:pPr>
        <w:spacing w:after="120"/>
      </w:pPr>
      <w:r>
        <w:t xml:space="preserve">Two documents from one set of inputs, </w:t>
      </w:r>
      <w:r>
        <w:rPr>
          <w:b/>
          <w:color w:val="1E293B"/>
        </w:rPr>
        <w:t>reconciling to the euro at every level</w:t>
      </w:r>
      <w:r>
        <w:t>:</w:t>
      </w:r>
    </w:p>
    <w:p>
      <w:pPr>
        <w:spacing w:after="80"/>
        <w:ind w:left="454" w:hanging="454"/>
      </w:pPr>
      <w:r>
        <w:rPr>
          <w:b/>
          <w:color w:val="1E293B"/>
        </w:rPr>
        <w:t xml:space="preserve">1.  </w:t>
      </w:r>
      <w:r>
        <w:rPr>
          <w:b/>
          <w:color w:val="1E293B"/>
        </w:rPr>
        <w:t>Customer Cost Plan (1–2 pages)</w:t>
      </w:r>
      <w:r>
        <w:t xml:space="preserve"> — one row per measure showing scope, estimated spend, SEAI grant and net cost to the homeowner, plus an actual-spend column for tracking works as they progress, and a short "how to use this document" note for homeowner, lender and contractor. Written to be readable by all three.</w:t>
      </w:r>
    </w:p>
    <w:p>
      <w:pPr>
        <w:spacing w:after="80"/>
        <w:ind w:left="454" w:hanging="454"/>
      </w:pPr>
      <w:r>
        <w:rPr>
          <w:b/>
          <w:color w:val="1E293B"/>
        </w:rPr>
        <w:t xml:space="preserve">2.  </w:t>
      </w:r>
      <w:r>
        <w:rPr>
          <w:b/>
          <w:color w:val="1E293B"/>
        </w:rPr>
        <w:t>Detailed Cost Plan</w:t>
      </w:r>
      <w:r>
        <w:t xml:space="preserve"> — the same table with the pricing basis for each measure, the full loading methodology (base cost → overhead, profit and contingency → VAT) totalling to exactly the customer headline figure, and an itemised appendix giving every line item with its quantity, unit, material rate and labour rate. Any figure questioned can be traced from the headline down to a unit rate.</w:t>
      </w:r>
    </w:p>
    <w:p>
      <w:pPr>
        <w:spacing w:after="120"/>
      </w:pPr>
      <w:r>
        <w:t>Alongside these: a per-measure grant breakdown for both Better Energy Homes and One Stop Shop at current rates, the SEAI-registered trades the project requires, and estimated-versus-actual cost tracking.</w:t>
      </w:r>
    </w:p>
    <w:p>
      <w:pPr>
        <w:spacing w:before="200" w:after="60"/>
      </w:pPr>
      <w:r>
        <w:rPr>
          <w:b/>
          <w:color w:val="1E293B"/>
          <w:sz w:val="24"/>
        </w:rPr>
        <w:t>Who benefits, and how</w:t>
      </w:r>
    </w:p>
    <w:tbl>
      <w:tblPr>
        <w:tblStyle w:val="LightGrid-Accent1"/>
        <w:tblW w:type="auto" w:w="0"/>
        <w:tblLook w:firstColumn="1" w:firstRow="1" w:lastColumn="0" w:lastRow="0" w:noHBand="0" w:noVBand="1" w:val="04A0"/>
      </w:tblPr>
      <w:tblGrid>
        <w:gridCol w:w="4873"/>
        <w:gridCol w:w="4873"/>
      </w:tblGrid>
      <w:tr>
        <w:tc>
          <w:tcPr>
            <w:tcW w:type="dxa" w:w="4873"/>
          </w:tcPr>
          <w:p>
            <w:r>
              <w:rPr>
                <w:b/>
                <w:sz w:val="19"/>
              </w:rPr>
              <w:t>User</w:t>
            </w:r>
          </w:p>
        </w:tc>
        <w:tc>
          <w:tcPr>
            <w:tcW w:type="dxa" w:w="4873"/>
          </w:tcPr>
          <w:p>
            <w:r>
              <w:rPr>
                <w:b/>
                <w:sz w:val="19"/>
              </w:rPr>
              <w:t>How they use it</w:t>
            </w:r>
          </w:p>
        </w:tc>
      </w:tr>
      <w:tr>
        <w:tc>
          <w:tcPr>
            <w:tcW w:type="dxa" w:w="4873"/>
          </w:tcPr>
          <w:p>
            <w:r>
              <w:rPr>
                <w:b/>
                <w:color w:val="1E293B"/>
                <w:sz w:val="19"/>
              </w:rPr>
              <w:t>Homeowners</w:t>
            </w:r>
          </w:p>
        </w:tc>
        <w:tc>
          <w:tcPr>
            <w:tcW w:type="dxa" w:w="4873"/>
          </w:tcPr>
          <w:p>
            <w:r>
              <w:rPr>
                <w:sz w:val="19"/>
              </w:rPr>
              <w:t>Understand the real cost before engaging anyone. Compare contractor quotes against an independent estimate. Track spend during works.</w:t>
            </w:r>
          </w:p>
        </w:tc>
      </w:tr>
      <w:tr>
        <w:tc>
          <w:tcPr>
            <w:tcW w:type="dxa" w:w="4873"/>
          </w:tcPr>
          <w:p>
            <w:r>
              <w:rPr>
                <w:b/>
                <w:color w:val="1E293B"/>
                <w:sz w:val="19"/>
              </w:rPr>
              <w:t>BER Assessors</w:t>
            </w:r>
          </w:p>
        </w:tc>
        <w:tc>
          <w:tcPr>
            <w:tcW w:type="dxa" w:w="4873"/>
          </w:tcPr>
          <w:p>
            <w:r>
              <w:rPr>
                <w:sz w:val="19"/>
              </w:rPr>
              <w:t>Add a costed plan to the improvement advice they already provide, within the same visit — turning an assessment into a complete, actionable conversation. Built by assessors, so it asks only for measurements they already take.</w:t>
            </w:r>
          </w:p>
        </w:tc>
      </w:tr>
      <w:tr>
        <w:tc>
          <w:tcPr>
            <w:tcW w:type="dxa" w:w="4873"/>
          </w:tcPr>
          <w:p>
            <w:r>
              <w:rPr>
                <w:b/>
                <w:color w:val="1E293B"/>
                <w:sz w:val="19"/>
              </w:rPr>
              <w:t>Banks &amp; Credit Unions</w:t>
            </w:r>
          </w:p>
        </w:tc>
        <w:tc>
          <w:tcPr>
            <w:tcW w:type="dxa" w:w="4873"/>
          </w:tcPr>
          <w:p>
            <w:r>
              <w:rPr>
                <w:sz w:val="19"/>
              </w:rPr>
              <w:t>A consistent, contractor-independent cost document to support green loan and mortgage applications.</w:t>
            </w:r>
          </w:p>
        </w:tc>
      </w:tr>
      <w:tr>
        <w:tc>
          <w:tcPr>
            <w:tcW w:type="dxa" w:w="4873"/>
          </w:tcPr>
          <w:p>
            <w:r>
              <w:rPr>
                <w:b/>
                <w:color w:val="1E293B"/>
                <w:sz w:val="19"/>
              </w:rPr>
              <w:t>One Stop Shops</w:t>
            </w:r>
          </w:p>
        </w:tc>
        <w:tc>
          <w:tcPr>
            <w:tcW w:type="dxa" w:w="4873"/>
          </w:tcPr>
          <w:p>
            <w:r>
              <w:rPr>
                <w:sz w:val="19"/>
              </w:rPr>
              <w:t>Fast feasibility costing and project pre-qualification before committing to a full survey.</w:t>
            </w:r>
          </w:p>
        </w:tc>
      </w:tr>
      <w:tr>
        <w:tc>
          <w:tcPr>
            <w:tcW w:type="dxa" w:w="4873"/>
          </w:tcPr>
          <w:p>
            <w:r>
              <w:rPr>
                <w:b/>
                <w:color w:val="1E293B"/>
                <w:sz w:val="19"/>
              </w:rPr>
              <w:t>Contractors</w:t>
            </w:r>
          </w:p>
        </w:tc>
        <w:tc>
          <w:tcPr>
            <w:tcW w:type="dxa" w:w="4873"/>
          </w:tcPr>
          <w:p>
            <w:r>
              <w:rPr>
                <w:sz w:val="19"/>
              </w:rPr>
              <w:t>A structured scope of works to quote against, with a published, transparent rate basis.</w:t>
            </w:r>
          </w:p>
        </w:tc>
      </w:tr>
      <w:tr>
        <w:tc>
          <w:tcPr>
            <w:tcW w:type="dxa" w:w="4873"/>
          </w:tcPr>
          <w:p>
            <w:r>
              <w:rPr>
                <w:b/>
                <w:color w:val="1E293B"/>
                <w:sz w:val="19"/>
              </w:rPr>
              <w:t>Local Authorities &amp; AHBs</w:t>
            </w:r>
          </w:p>
        </w:tc>
        <w:tc>
          <w:tcPr>
            <w:tcW w:type="dxa" w:w="4873"/>
          </w:tcPr>
          <w:p>
            <w:r>
              <w:rPr>
                <w:sz w:val="19"/>
              </w:rPr>
              <w:t>Rapid bulk estimation and budget forecasting for estate-wide retrofit programmes.</w:t>
            </w:r>
          </w:p>
        </w:tc>
      </w:tr>
      <w:tr>
        <w:tc>
          <w:tcPr>
            <w:tcW w:type="dxa" w:w="4873"/>
          </w:tcPr>
          <w:p>
            <w:r>
              <w:rPr>
                <w:b/>
                <w:color w:val="1E293B"/>
                <w:sz w:val="19"/>
              </w:rPr>
              <w:t>SEAI</w:t>
            </w:r>
          </w:p>
        </w:tc>
        <w:tc>
          <w:tcPr>
            <w:tcW w:type="dxa" w:w="4873"/>
          </w:tcPr>
          <w:p>
            <w:r>
              <w:rPr>
                <w:sz w:val="19"/>
              </w:rPr>
              <w:t>Real-market cost evidence to calibrate grant rates, plus a consistent way to show homeowners what an upgrade genuinely costs.</w:t>
            </w:r>
          </w:p>
        </w:tc>
      </w:tr>
      <w:tr>
        <w:tc>
          <w:tcPr>
            <w:tcW w:type="dxa" w:w="4873"/>
          </w:tcPr>
          <w:p>
            <w:r>
              <w:rPr>
                <w:b/>
                <w:color w:val="1E293B"/>
                <w:sz w:val="19"/>
              </w:rPr>
              <w:t>Estate Agents &amp; Solicitors</w:t>
            </w:r>
          </w:p>
        </w:tc>
        <w:tc>
          <w:tcPr>
            <w:tcW w:type="dxa" w:w="4873"/>
          </w:tcPr>
          <w:p>
            <w:r>
              <w:rPr>
                <w:sz w:val="19"/>
              </w:rPr>
              <w:t>Retrofit cost disclosure on listings and during transactions.</w:t>
            </w:r>
          </w:p>
        </w:tc>
      </w:tr>
    </w:tbl>
    <w:p>
      <w:pPr>
        <w:spacing w:before="280" w:after="80"/>
      </w:pPr>
      <w:r>
        <w:rPr>
          <w:b/>
          <w:color w:val="B07D1A"/>
          <w:sz w:val="30"/>
        </w:rPr>
        <w:t>2. The Trial — What It Will Be Used For</w:t>
      </w:r>
    </w:p>
    <w:p>
      <w:pPr>
        <w:spacing w:after="120"/>
      </w:pPr>
      <w:r>
        <w:t>The trial exists to convert PlanitBER's stated accuracy (±15–20%) from a claim into published evidence, and to prove the tool works in the field before SEAI puts its name near it. Four objectives:</w:t>
      </w:r>
    </w:p>
    <w:p>
      <w:pPr>
        <w:spacing w:after="120"/>
      </w:pPr>
      <w:r>
        <w:rPr>
          <w:b/>
          <w:color w:val="1E293B"/>
        </w:rPr>
        <w:t>Validate accuracy against real prices.</w:t>
      </w:r>
    </w:p>
    <w:p>
      <w:pPr>
        <w:spacing w:after="120"/>
      </w:pPr>
      <w:r>
        <w:t>Run 50–100 live projects through PlanitBER alongside actual contractor quotes and One Stop Shop pricing, spanning dwelling types (detached, semi-detached, terrace, bungalow, apartment), age bands, counties and both grant schemes. Publish the error distribution per measure, not merely an average. Where a measure prices consistently high or low, the rate book is corrected and the correction is dated and recorded.</w:t>
      </w:r>
    </w:p>
    <w:p>
      <w:pPr>
        <w:spacing w:after="120"/>
      </w:pPr>
      <w:r>
        <w:rPr>
          <w:b/>
          <w:color w:val="1E293B"/>
        </w:rPr>
        <w:t>Prove the assessor workflow.</w:t>
      </w:r>
    </w:p>
    <w:p>
      <w:pPr>
        <w:spacing w:after="120"/>
      </w:pPr>
      <w:r>
        <w:t>Measure the time from completed survey to issued cost plan, and confirm assessors can produce it within the visit without specialist QS knowledge. Success is a cost plan in the homeowner's hand at the same appointment.</w:t>
      </w:r>
    </w:p>
    <w:p>
      <w:pPr>
        <w:spacing w:after="120"/>
      </w:pPr>
      <w:r>
        <w:rPr>
          <w:b/>
          <w:color w:val="1E293B"/>
        </w:rPr>
        <w:t>Capture the first actual-cost dataset.</w:t>
      </w:r>
    </w:p>
    <w:p>
      <w:pPr>
        <w:spacing w:after="120"/>
      </w:pPr>
      <w:r>
        <w:t>Every trial project's estimated-versus-actual figures, per measure and per county, seed a retrofit out-turn cost dataset that does not currently exist anywhere in the programme. Aggregated and anonymised, this is offered to SEAI as a direct output of the trial — evidence of what retrofits actually cost, independent of what anyone quoted.</w:t>
      </w:r>
    </w:p>
    <w:p>
      <w:pPr>
        <w:spacing w:after="120"/>
      </w:pPr>
      <w:r>
        <w:rPr>
          <w:b/>
          <w:color w:val="1E293B"/>
        </w:rPr>
        <w:t>Establish rate governance.</w:t>
      </w:r>
    </w:p>
    <w:p>
      <w:pPr>
        <w:spacing w:after="120"/>
      </w:pPr>
      <w:r>
        <w:t>The trial formalises the rate book: named sources (SEO National Wage Agreement, SCSI Regional Cost Supplement, Irish merchant pricing), a published review cycle aligned to SEAI's annual grant revisions, and a versioned change log. SEAI should be able to ask what the tool assumed on any given date and receive an exact answer.</w:t>
      </w:r>
    </w:p>
    <w:p>
      <w:pPr>
        <w:spacing w:after="120"/>
      </w:pPr>
      <w:r>
        <w:rPr>
          <w:b/>
          <w:color w:val="1E293B"/>
        </w:rPr>
        <w:t>Success criteria, stated in advance:</w:t>
      </w:r>
      <w:r>
        <w:t xml:space="preserve"> measured accuracy within the published band on at least 80% of projects; a cost plan issued same-day on at least 90% of assessments; a documented rate-correction cycle completed; and homeowner progression from assessment to grant application tracked against a comparison group.</w:t>
      </w:r>
    </w:p>
    <w:p>
      <w:pPr>
        <w:spacing w:after="120"/>
      </w:pPr>
      <w:r>
        <w:rPr>
          <w:b/>
          <w:color w:val="1E293B"/>
        </w:rPr>
        <w:t>Timeline.</w:t>
      </w:r>
      <w:r>
        <w:t xml:space="preserve"> Six months from approval: two months recruiting participating assessors and One Stop Shops, three months collecting projects with matched quotes and actual costs, and a final month for analysis and reporting to SEAI.</w:t>
      </w:r>
    </w:p>
    <w:p>
      <w:pPr>
        <w:spacing w:before="200" w:after="60"/>
      </w:pPr>
      <w:r>
        <w:rPr>
          <w:b/>
          <w:color w:val="1E293B"/>
          <w:sz w:val="24"/>
        </w:rPr>
        <w:t>Commercial basis, governance and risk</w:t>
      </w:r>
    </w:p>
    <w:p>
      <w:pPr>
        <w:spacing w:after="120"/>
      </w:pPr>
      <w:r>
        <w:rPr>
          <w:b/>
          <w:color w:val="1E293B"/>
        </w:rPr>
        <w:t>Commercial model.</w:t>
      </w:r>
      <w:r>
        <w:t xml:space="preserve"> PlanitBER is free to homeowners. Assessors and One Stop Shops access it under an annual licence of €[fee]. No commission, referral fee, lead-generation payment or contractor advertising is taken from any party — independence from everyone selling the works is the point of the tool, and it will not be compromised.</w:t>
      </w:r>
    </w:p>
    <w:p>
      <w:pPr>
        <w:spacing w:after="120"/>
      </w:pPr>
      <w:r>
        <w:rPr>
          <w:b/>
          <w:color w:val="1E293B"/>
        </w:rPr>
        <w:t>SEAI oversight.</w:t>
      </w:r>
      <w:r>
        <w:t xml:space="preserve"> Standalone software does not have to mean unsupervised software. We would welcome a formal SEAI role in governing the methodology: the rate book, its sources and every revision made available for SEAI review, with all rate and loading changes published and dated. If SEAI would prefer to approve the rate book annually, or to set parameters the tool must apply, we would accept that as a condition of recognition. Oversight strengthens the tool's credibility and gives SEAI direct assurance over what is being published in its name.</w:t>
      </w:r>
    </w:p>
    <w:p>
      <w:pPr>
        <w:spacing w:after="120"/>
      </w:pPr>
      <w:r>
        <w:rPr>
          <w:b/>
          <w:color w:val="1E293B"/>
        </w:rPr>
        <w:t>Liability.</w:t>
      </w:r>
      <w:r>
        <w:t xml:space="preserve"> Every output is labelled an indicative estimate — not a quotation, contract or guarantee of final cost — with the accuracy band printed on the face of the document and the reminder that only SEAI-registered contractors qualify for grant payment. Professional indemnity insurance is carried by Turley Energy Consultants. Recognition by SEAI would carry no liability for costs incurred by homeowners or contractors.</w:t>
      </w:r>
    </w:p>
    <w:p>
      <w:pPr>
        <w:spacing w:after="120"/>
      </w:pPr>
      <w:r>
        <w:rPr>
          <w:b/>
          <w:color w:val="1E293B"/>
        </w:rPr>
        <w:t>Data protection.</w:t>
      </w:r>
      <w:r>
        <w:t xml:space="preserve"> Project data remains with the assessor who created it. The actual-cost dataset offered to SEAI is aggregated and anonymised — measure, dwelling type, county and cost only, with no address or personal data — and homeowner consent is obtained before any project's figures are included.</w:t>
      </w:r>
    </w:p>
    <w:p>
      <w:pPr>
        <w:spacing w:before="280" w:after="80"/>
      </w:pPr>
      <w:r>
        <w:rPr>
          <w:b/>
          <w:color w:val="B07D1A"/>
          <w:sz w:val="30"/>
        </w:rPr>
        <w:t>3. What It Can Become</w:t>
      </w:r>
    </w:p>
    <w:p>
      <w:pPr>
        <w:spacing w:after="120"/>
      </w:pPr>
      <w:r>
        <w:rPr>
          <w:b/>
          <w:color w:val="1E293B"/>
        </w:rPr>
        <w:t>A recognised standard for indicative retrofit costs.</w:t>
      </w:r>
    </w:p>
    <w:p>
      <w:pPr>
        <w:spacing w:after="120"/>
      </w:pPr>
      <w:r>
        <w:t>Ireland completes roughly 100,000 home energy assessments a year. Every one is an opportunity to give a homeowner a credible number — and today almost none of them do. With SEAI recognition, PlanitBER becomes the consistent, independent format in which that number is given: the same methodology, the same loading basis, and the same grant treatment nationwide, whether the homeowner is in Dublin or Ballymote.</w:t>
      </w:r>
    </w:p>
    <w:p>
      <w:pPr>
        <w:spacing w:after="120"/>
      </w:pPr>
      <w:r>
        <w:rPr>
          <w:b/>
          <w:color w:val="1E293B"/>
        </w:rPr>
        <w:t>A stronger advisory service from assessors.</w:t>
      </w:r>
    </w:p>
    <w:p>
      <w:pPr>
        <w:spacing w:after="120"/>
      </w:pPr>
      <w:r>
        <w:t xml:space="preserve">Assessors are the profession best placed to deliver this — they are already in the home, already measuring, and already trusted to advise on improvements. PlanitBER extends that advisory role from </w:t>
      </w:r>
      <w:r>
        <w:rPr>
          <w:i/>
        </w:rPr>
        <w:t>what to do</w:t>
      </w:r>
      <w:r>
        <w:t xml:space="preserve"> to </w:t>
      </w:r>
      <w:r>
        <w:rPr>
          <w:i/>
        </w:rPr>
        <w:t>what it costs</w:t>
      </w:r>
      <w:r>
        <w:t>, without requiring quantity surveying expertise. That makes the assessment visit more valuable to the homeowner and more commercially attractive to the assessor.</w:t>
      </w:r>
    </w:p>
    <w:p>
      <w:pPr>
        <w:spacing w:after="120"/>
      </w:pPr>
      <w:r>
        <w:rPr>
          <w:b/>
          <w:color w:val="1E293B"/>
        </w:rPr>
        <w:t>A national retrofit cost index.</w:t>
      </w:r>
    </w:p>
    <w:p>
      <w:pPr>
        <w:spacing w:after="120"/>
      </w:pPr>
      <w:r>
        <w:t>At scale, the estimated-versus-actual dataset becomes a live index of retrofit costs by measure, dwelling type and county — the reference SEAI needs to calibrate grant rates, identify regional price anomalies, and demonstrate value for money. Nobody holds this data today, and the tool producing the estimates is the natural instrument to collect the outcomes.</w:t>
      </w:r>
    </w:p>
    <w:p>
      <w:pPr>
        <w:spacing w:after="120"/>
      </w:pPr>
      <w:r>
        <w:rPr>
          <w:b/>
          <w:color w:val="1E293B"/>
        </w:rPr>
        <w:t>Grant-application support.</w:t>
      </w:r>
    </w:p>
    <w:p>
      <w:pPr>
        <w:spacing w:after="120"/>
      </w:pPr>
      <w:r>
        <w:t>As accuracy is proven, a PlanitBER cost plan could serve as a standard supporting document in grant applications — giving SEAI a consistent, itemised statement of intended works and expected cost at the point of application, and a benchmark against which final invoices can be sense-checked. This is a longer-term possibility rather than a near-term proposal, but the format is already built for it.</w:t>
      </w:r>
    </w:p>
    <w:p>
      <w:pPr>
        <w:spacing w:after="120"/>
      </w:pPr>
      <w:r>
        <w:rPr>
          <w:b/>
          <w:color w:val="1E293B"/>
        </w:rPr>
        <w:t>Eligibility awareness.</w:t>
      </w:r>
    </w:p>
    <w:p>
      <w:pPr>
        <w:spacing w:after="120"/>
      </w:pPr>
      <w:r>
        <w:t>The next development step is encoding SEAI's eligibility rules directly into the tool — year-of-construction thresholds, the post-works Heat Loss Indicator requirement for heat pump grants, and measure-combination rules — so a plan that prices a grant is a plan that qualifies for it. Fewer ineligible applications reach SEAI, and fewer homeowners are disappointed late.</w:t>
      </w:r>
    </w:p>
    <w:p>
      <w:pPr>
        <w:spacing w:after="120"/>
      </w:pPr>
      <w:r>
        <w:rPr>
          <w:b/>
          <w:color w:val="1E293B"/>
        </w:rPr>
        <w:t>The standard cost document for retrofit finance.</w:t>
      </w:r>
    </w:p>
    <w:p>
      <w:pPr>
        <w:spacing w:after="120"/>
      </w:pPr>
      <w:r>
        <w:t>Banks and credit unions writing green loans need a consistent, contractor-independent cost basis. A recognised PlanitBER cost plan — one format, fully reconcilable, grant-aware — is the missing standard attachment for retrofit lending.</w:t>
      </w:r>
    </w:p>
    <w:p>
      <w:pPr>
        <w:spacing w:after="120"/>
      </w:pPr>
      <w:r>
        <w:rPr>
          <w:b/>
          <w:color w:val="1E293B"/>
        </w:rPr>
        <w:t>Whole-project coverage.</w:t>
      </w:r>
    </w:p>
    <w:p>
      <w:pPr>
        <w:spacing w:after="120"/>
      </w:pPr>
      <w:r>
        <w:t>The same engine and report format already extend to refurbishment, extensions and new build, so a deep retrofit that grows into a larger project stays within one consistent costing framework.</w:t>
      </w:r>
    </w:p>
    <w:p>
      <w:pPr>
        <w:spacing w:before="200" w:after="60"/>
      </w:pPr>
      <w:r>
        <w:rPr>
          <w:b/>
          <w:color w:val="1E293B"/>
          <w:sz w:val="24"/>
        </w:rPr>
        <w:t>The path we propose</w:t>
      </w:r>
    </w:p>
    <w:p>
      <w:pPr>
        <w:spacing w:after="80"/>
        <w:ind w:left="454" w:hanging="454"/>
      </w:pPr>
      <w:r>
        <w:rPr>
          <w:b/>
          <w:color w:val="1E293B"/>
        </w:rPr>
        <w:t xml:space="preserve">1.  </w:t>
      </w:r>
      <w:r>
        <w:rPr>
          <w:b/>
          <w:color w:val="1E293B"/>
        </w:rPr>
        <w:t>Trial</w:t>
      </w:r>
      <w:r>
        <w:t xml:space="preserve"> — as set out above: accuracy report, actual-cost dataset and rate governance, delivered to SEAI.</w:t>
      </w:r>
    </w:p>
    <w:p>
      <w:pPr>
        <w:spacing w:after="80"/>
        <w:ind w:left="454" w:hanging="454"/>
      </w:pPr>
      <w:r>
        <w:rPr>
          <w:b/>
          <w:color w:val="1E293B"/>
        </w:rPr>
        <w:t xml:space="preserve">2.  </w:t>
      </w:r>
      <w:r>
        <w:rPr>
          <w:b/>
          <w:color w:val="1E293B"/>
        </w:rPr>
        <w:t>Recognition</w:t>
      </w:r>
      <w:r>
        <w:t xml:space="preserve"> — PlanitBER approved and promoted as an indicative costing tool, used by assessors, One Stop Shops and homeowners, backed by our published rate-maintenance commitment and whatever oversight arrangement SEAI wishes to put in place.</w:t>
      </w:r>
    </w:p>
    <w:p>
      <w:pPr>
        <w:spacing w:after="80"/>
        <w:ind w:left="454" w:hanging="454"/>
      </w:pPr>
      <w:r>
        <w:rPr>
          <w:b/>
          <w:color w:val="1E293B"/>
        </w:rPr>
        <w:t xml:space="preserve">3.  </w:t>
      </w:r>
      <w:r>
        <w:rPr>
          <w:b/>
          <w:color w:val="1E293B"/>
        </w:rPr>
        <w:t>Wider role</w:t>
      </w:r>
      <w:r>
        <w:t xml:space="preserve"> — subject to proven accuracy, use of the cost plan to support grant applications and retrofit lending.</w:t>
      </w:r>
    </w:p>
    <w:p>
      <w:pPr>
        <w:spacing w:after="120"/>
      </w:pPr>
      <w:r>
        <w:t>Each step gives SEAI something concrete — evidence, cost data, higher homeowner conversion — before anything further is asked. PlanitBER is developed, maintained and funded entirely by Turley Energy Consultants; SEAI's role is endorsement and promotion, not build or spend.</w:t>
      </w:r>
    </w:p>
    <w:p>
      <w:pPr>
        <w:spacing w:after="120"/>
      </w:pPr>
      <w:r>
        <w:rPr>
          <w:i/>
        </w:rPr>
        <w:t>PlanitBER V1 · Turley Energy Consultants · Indicative accuracy ±15–20% (to be evidenced in trial) · Independent estimate — not prepared by any contractor · Not a substitute for a formal QS report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47556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