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293B"/>
          <w:sz w:val="44"/>
        </w:rPr>
        <w:t>PlanitBER — Value Proposition</w:t>
      </w:r>
    </w:p>
    <w:p>
      <w:pPr>
        <w:spacing w:after="120"/>
      </w:pPr>
      <w:r>
        <w:rPr>
          <w:b/>
          <w:color w:val="1E293B"/>
        </w:rPr>
        <w:t>The cost layer Ireland's retrofit programme is missing.</w:t>
      </w:r>
    </w:p>
    <w:p>
      <w:pPr>
        <w:spacing w:after="120"/>
      </w:pPr>
      <w:r>
        <w:t xml:space="preserve">Every BER assessment already tells a homeowner </w:t>
      </w:r>
      <w:r>
        <w:rPr>
          <w:i/>
        </w:rPr>
        <w:t>what to do</w:t>
      </w:r>
      <w:r>
        <w:t xml:space="preserve"> — the Advisory Report lists the recommended upgrade measures. None of them says </w:t>
      </w:r>
      <w:r>
        <w:rPr>
          <w:i/>
        </w:rPr>
        <w:t>what it costs</w:t>
      </w:r>
      <w:r>
        <w:t>. PlanitBER prices that recommendation: an independent, grant-netted, finance-ready budget in under two minutes, from the same data the assessor already holds, in the format a quantity surveyor would use.</w:t>
      </w:r>
    </w:p>
    <w:p>
      <w:pPr>
        <w:spacing w:before="280" w:after="80"/>
      </w:pPr>
      <w:r>
        <w:rPr>
          <w:b/>
          <w:color w:val="B07D1A"/>
          <w:sz w:val="30"/>
        </w:rPr>
        <w:t>1. What It Is</w:t>
      </w:r>
    </w:p>
    <w:p>
      <w:pPr>
        <w:spacing w:before="200" w:after="60"/>
      </w:pPr>
      <w:r>
        <w:rPr>
          <w:b/>
          <w:color w:val="1E293B"/>
          <w:sz w:val="24"/>
        </w:rPr>
        <w:t>The problem it solves</w:t>
      </w:r>
    </w:p>
    <w:p>
      <w:pPr>
        <w:spacing w:after="120"/>
      </w:pPr>
      <w:r>
        <w:t xml:space="preserve">Ireland has committed to retrofitting </w:t>
      </w:r>
      <w:r>
        <w:rPr>
          <w:b/>
          <w:color w:val="1E293B"/>
        </w:rPr>
        <w:t>500,000 homes to B2 or better by 2030</w:t>
      </w:r>
      <w:r>
        <w:t>. Current completion rates are well behind target. Three demand-side barriers explain why:</w:t>
      </w:r>
    </w:p>
    <w:p>
      <w:pPr>
        <w:spacing w:after="120"/>
      </w:pPr>
      <w:r>
        <w:rPr>
          <w:b/>
          <w:color w:val="1E293B"/>
        </w:rPr>
        <w:t>Cost uncertainty stops homeowners acting.</w:t>
      </w:r>
    </w:p>
    <w:p>
      <w:pPr>
        <w:spacing w:after="120"/>
      </w:pPr>
      <w:r>
        <w:t xml:space="preserve">Every BER assessment issues a </w:t>
      </w:r>
      <w:r>
        <w:rPr>
          <w:b/>
          <w:color w:val="1E293B"/>
        </w:rPr>
        <w:t>BER Advisory Report</w:t>
      </w:r>
      <w:r>
        <w:t xml:space="preserve"> setting out the recommended upgrade measures for that specific home. It is the single most actionable document a homeowner receives — and it carries no costs. Homeowners don't know if the recommendation in front of them means €8,000 or €80,000. Without a credible number they don't apply for grants, don't approach banks, and don't proceed. The conversion from "interested" to "committed" breaks down at the budget question — DEAP answers </w:t>
      </w:r>
      <w:r>
        <w:rPr>
          <w:i/>
        </w:rPr>
        <w:t>how the house performs</w:t>
      </w:r>
      <w:r>
        <w:t xml:space="preserve">, the Advisory Report answers </w:t>
      </w:r>
      <w:r>
        <w:rPr>
          <w:i/>
        </w:rPr>
        <w:t>what to do about it</w:t>
      </w:r>
      <w:r>
        <w:t xml:space="preserve">; nothing answers </w:t>
      </w:r>
      <w:r>
        <w:rPr>
          <w:i/>
        </w:rPr>
        <w:t>what it costs</w:t>
      </w:r>
      <w:r>
        <w:t>.</w:t>
      </w:r>
    </w:p>
    <w:p>
      <w:pPr>
        <w:spacing w:after="120"/>
      </w:pPr>
      <w:r>
        <w:rPr>
          <w:b/>
          <w:color w:val="1E293B"/>
        </w:rPr>
        <w:t>Grant inflation erodes trust in the scheme.</w:t>
      </w:r>
    </w:p>
    <w:p>
      <w:pPr>
        <w:spacing w:after="120"/>
      </w:pPr>
      <w:r>
        <w:t>A widespread perception — well-founded in some cases — that contractors price to the gross figure and absorb the grant, leaving the homeowner no better off. Homeowners who feel the grant is a contractor bonus rather than a real saving will not participate. Every euro of grant that leaks into margin is a euro of Exchequer spend that bought no retrofit.</w:t>
      </w:r>
    </w:p>
    <w:p>
      <w:pPr>
        <w:spacing w:after="120"/>
      </w:pPr>
      <w:r>
        <w:rPr>
          <w:b/>
          <w:color w:val="1E293B"/>
        </w:rPr>
        <w:t>No bridge between assessment and action.</w:t>
      </w:r>
    </w:p>
    <w:p>
      <w:pPr>
        <w:spacing w:after="120"/>
      </w:pPr>
      <w:r>
        <w:t>A BER assessor visits, rates the home, issues the certificate and Advisory Report, and leaves. The homeowner is handed a list of recommended measures and no way to act on it. The window where they are most motivated closes before they have the one number they need.</w:t>
      </w:r>
    </w:p>
    <w:p>
      <w:pPr>
        <w:spacing w:before="200" w:after="60"/>
      </w:pPr>
      <w:r>
        <w:rPr>
          <w:b/>
          <w:color w:val="1E293B"/>
          <w:sz w:val="24"/>
        </w:rPr>
        <w:t>How it answers them</w:t>
      </w:r>
    </w:p>
    <w:p>
      <w:pPr>
        <w:spacing w:after="120"/>
      </w:pPr>
      <w:r>
        <w:t>PlanitBER generates an itemised, independent cost plan from the assessor's own survey geometry (floor, wall, roof and window areas, age band, heat loss indicator) and a measure selector built around the same measures an Advisory Report recommends and SEAI grant-aids:</w:t>
      </w:r>
    </w:p>
    <w:p>
      <w:pPr>
        <w:pStyle w:val="ListBullet"/>
      </w:pPr>
      <w:r>
        <w:rPr>
          <w:b/>
          <w:color w:val="1E293B"/>
        </w:rPr>
        <w:t>Cost certainty</w:t>
      </w:r>
      <w:r>
        <w:t xml:space="preserve"> — an instant indicative budget, measure by measure, using county-adjusted labour rates and current Irish material pricing, with heat pump sizing from the Heat Loss Indicator (IS EN 12831), fully loaded (O&amp;P 12%, contingency 10%, VAT 13.5%; Solar PV at 0%).</w:t>
      </w:r>
    </w:p>
    <w:p>
      <w:pPr>
        <w:pStyle w:val="ListBullet"/>
      </w:pPr>
      <w:r>
        <w:rPr>
          <w:b/>
          <w:color w:val="1E293B"/>
        </w:rPr>
        <w:t>Grant trust</w:t>
      </w:r>
      <w:r>
        <w:t xml:space="preserve"> — gross costs shown independently of any contractor, SEAI grants deducted line by line, and the document states it plainly: </w:t>
      </w:r>
      <w:r>
        <w:rPr>
          <w:i/>
        </w:rPr>
        <w:t>contractors quote on the gross figures — grants reduce the homeowner's invoice, not justify inflated pricing.</w:t>
      </w:r>
      <w:r>
        <w:t xml:space="preserve"> A homeowner holding an independent benchmark is in a fundamentally stronger negotiating position.</w:t>
      </w:r>
    </w:p>
    <w:p>
      <w:pPr>
        <w:pStyle w:val="ListBullet"/>
      </w:pPr>
      <w:r>
        <w:rPr>
          <w:b/>
          <w:color w:val="1E293B"/>
        </w:rPr>
        <w:t>Assessment to action</w:t>
      </w:r>
      <w:r>
        <w:t xml:space="preserve"> — the cost plan is handed over alongside the BER certificate and Advisory Report, as the page that prices what the Advisory Report recommends. The gap between recommendation and budget closes to zero.</w:t>
      </w:r>
    </w:p>
    <w:p>
      <w:pPr>
        <w:spacing w:before="200" w:after="60"/>
      </w:pPr>
      <w:r>
        <w:rPr>
          <w:b/>
          <w:color w:val="1E293B"/>
          <w:sz w:val="24"/>
        </w:rPr>
        <w:t>What it produces</w:t>
      </w:r>
    </w:p>
    <w:p>
      <w:pPr>
        <w:spacing w:after="120"/>
      </w:pPr>
      <w:r>
        <w:t xml:space="preserve">Two documents from one set of inputs, </w:t>
      </w:r>
      <w:r>
        <w:rPr>
          <w:b/>
          <w:color w:val="1E293B"/>
        </w:rPr>
        <w:t>reconciling to the euro at every level</w:t>
      </w:r>
      <w:r>
        <w:t>:</w:t>
      </w:r>
    </w:p>
    <w:p>
      <w:pPr>
        <w:pStyle w:val="ListNumber"/>
      </w:pPr>
      <w:r>
        <w:rPr>
          <w:b/>
          <w:color w:val="1E293B"/>
        </w:rPr>
        <w:t>Customer Cost Plan (1–2 pages)</w:t>
      </w:r>
      <w:r>
        <w:t xml:space="preserve"> — one row per measure with scope, estimated spend, SEAI grant, and net cost to the homeowner; an actual-spend column for tracking works; a "how to use this document" line for homeowner, lender and contractor. Suitable for bank and grant applications.</w:t>
      </w:r>
    </w:p>
    <w:p>
      <w:pPr>
        <w:pStyle w:val="ListNumber"/>
      </w:pPr>
      <w:r>
        <w:rPr>
          <w:b/>
          <w:color w:val="1E293B"/>
        </w:rPr>
        <w:t>Detailed Cost Plan</w:t>
      </w:r>
      <w:r>
        <w:t xml:space="preserve"> — the same table plus the pricing basis per measure, the full loading methodology (base → O&amp;P + contingency → VAT) with a total that ties exactly to the customer headline, and an itemised appendix: every line item with quantity, unit, material rate and labour rate. Any figure a lender or SEAI questions can be traced from the headline down to a unit rate.</w:t>
      </w:r>
    </w:p>
    <w:p>
      <w:pPr>
        <w:spacing w:after="120"/>
      </w:pPr>
      <w:r>
        <w:t>Plus: per-measure grant breakdown (Better Energy Homes and One Stop Shop, current rates), the SEAI-registered trades required, and estimated-vs-actual cost tracking as works progress.</w:t>
      </w:r>
    </w:p>
    <w:p>
      <w:pPr>
        <w:spacing w:before="200" w:after="60"/>
      </w:pPr>
      <w:r>
        <w:rPr>
          <w:b/>
          <w:color w:val="1E293B"/>
          <w:sz w:val="24"/>
        </w:rPr>
        <w:t>Who uses it</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User</w:t>
            </w:r>
          </w:p>
        </w:tc>
        <w:tc>
          <w:tcPr>
            <w:tcW w:type="dxa" w:w="4873"/>
          </w:tcPr>
          <w:p>
            <w:r>
              <w:rPr>
                <w:b/>
                <w:sz w:val="19"/>
              </w:rPr>
              <w:t>How they use it</w:t>
            </w:r>
          </w:p>
        </w:tc>
      </w:tr>
      <w:tr>
        <w:tc>
          <w:tcPr>
            <w:tcW w:type="dxa" w:w="4873"/>
          </w:tcPr>
          <w:p>
            <w:r>
              <w:rPr>
                <w:b/>
                <w:color w:val="1E293B"/>
                <w:sz w:val="19"/>
              </w:rPr>
              <w:t>Homeowners</w:t>
            </w:r>
          </w:p>
        </w:tc>
        <w:tc>
          <w:tcPr>
            <w:tcW w:type="dxa" w:w="4873"/>
          </w:tcPr>
          <w:p>
            <w:r>
              <w:rPr>
                <w:sz w:val="19"/>
              </w:rPr>
              <w:t>Understand costs before engaging contractors. Compare quotes against an independent estimate. Track budget during works.</w:t>
            </w:r>
          </w:p>
        </w:tc>
      </w:tr>
      <w:tr>
        <w:tc>
          <w:tcPr>
            <w:tcW w:type="dxa" w:w="4873"/>
          </w:tcPr>
          <w:p>
            <w:r>
              <w:rPr>
                <w:b/>
                <w:color w:val="1E293B"/>
                <w:sz w:val="19"/>
              </w:rPr>
              <w:t>BER Assessors</w:t>
            </w:r>
          </w:p>
        </w:tc>
        <w:tc>
          <w:tcPr>
            <w:tcW w:type="dxa" w:w="4873"/>
          </w:tcPr>
          <w:p>
            <w:r>
              <w:rPr>
                <w:sz w:val="19"/>
              </w:rPr>
              <w:t>Turn a certificate into a complete budget conversation during the assessment visit.</w:t>
            </w:r>
          </w:p>
        </w:tc>
      </w:tr>
      <w:tr>
        <w:tc>
          <w:tcPr>
            <w:tcW w:type="dxa" w:w="4873"/>
          </w:tcPr>
          <w:p>
            <w:r>
              <w:rPr>
                <w:b/>
                <w:color w:val="1E293B"/>
                <w:sz w:val="19"/>
              </w:rPr>
              <w:t>Banks &amp; Credit Unions</w:t>
            </w:r>
          </w:p>
        </w:tc>
        <w:tc>
          <w:tcPr>
            <w:tcW w:type="dxa" w:w="4873"/>
          </w:tcPr>
          <w:p>
            <w:r>
              <w:rPr>
                <w:sz w:val="19"/>
              </w:rPr>
              <w:t>A credible, contractor-independent cost document for green loan and mortgage applications.</w:t>
            </w:r>
          </w:p>
        </w:tc>
      </w:tr>
      <w:tr>
        <w:tc>
          <w:tcPr>
            <w:tcW w:type="dxa" w:w="4873"/>
          </w:tcPr>
          <w:p>
            <w:r>
              <w:rPr>
                <w:b/>
                <w:color w:val="1E293B"/>
                <w:sz w:val="19"/>
              </w:rPr>
              <w:t>One Stop Shops</w:t>
            </w:r>
          </w:p>
        </w:tc>
        <w:tc>
          <w:tcPr>
            <w:tcW w:type="dxa" w:w="4873"/>
          </w:tcPr>
          <w:p>
            <w:r>
              <w:rPr>
                <w:sz w:val="19"/>
              </w:rPr>
              <w:t>Fast feasibility costing and project pre-qualification before full survey.</w:t>
            </w:r>
          </w:p>
        </w:tc>
      </w:tr>
      <w:tr>
        <w:tc>
          <w:tcPr>
            <w:tcW w:type="dxa" w:w="4873"/>
          </w:tcPr>
          <w:p>
            <w:r>
              <w:rPr>
                <w:b/>
                <w:color w:val="1E293B"/>
                <w:sz w:val="19"/>
              </w:rPr>
              <w:t>Contractors</w:t>
            </w:r>
          </w:p>
        </w:tc>
        <w:tc>
          <w:tcPr>
            <w:tcW w:type="dxa" w:w="4873"/>
          </w:tcPr>
          <w:p>
            <w:r>
              <w:rPr>
                <w:sz w:val="19"/>
              </w:rPr>
              <w:t>A structured scope-of-works to quote from, with a published rate basis.</w:t>
            </w:r>
          </w:p>
        </w:tc>
      </w:tr>
      <w:tr>
        <w:tc>
          <w:tcPr>
            <w:tcW w:type="dxa" w:w="4873"/>
          </w:tcPr>
          <w:p>
            <w:r>
              <w:rPr>
                <w:b/>
                <w:color w:val="1E293B"/>
                <w:sz w:val="19"/>
              </w:rPr>
              <w:t>Local Authorities &amp; AHBs</w:t>
            </w:r>
          </w:p>
        </w:tc>
        <w:tc>
          <w:tcPr>
            <w:tcW w:type="dxa" w:w="4873"/>
          </w:tcPr>
          <w:p>
            <w:r>
              <w:rPr>
                <w:sz w:val="19"/>
              </w:rPr>
              <w:t>Rapid bulk estimation and budget forecasting for estate retrofit programmes.</w:t>
            </w:r>
          </w:p>
        </w:tc>
      </w:tr>
      <w:tr>
        <w:tc>
          <w:tcPr>
            <w:tcW w:type="dxa" w:w="4873"/>
          </w:tcPr>
          <w:p>
            <w:r>
              <w:rPr>
                <w:b/>
                <w:color w:val="1E293B"/>
                <w:sz w:val="19"/>
              </w:rPr>
              <w:t>SEAI</w:t>
            </w:r>
          </w:p>
        </w:tc>
        <w:tc>
          <w:tcPr>
            <w:tcW w:type="dxa" w:w="4873"/>
          </w:tcPr>
          <w:p>
            <w:r>
              <w:rPr>
                <w:sz w:val="19"/>
              </w:rPr>
              <w:t>Real-market cost data to calibrate grant rates and monitor programme value for money.</w:t>
            </w:r>
          </w:p>
        </w:tc>
      </w:tr>
      <w:tr>
        <w:tc>
          <w:tcPr>
            <w:tcW w:type="dxa" w:w="4873"/>
          </w:tcPr>
          <w:p>
            <w:r>
              <w:rPr>
                <w:b/>
                <w:color w:val="1E293B"/>
                <w:sz w:val="19"/>
              </w:rPr>
              <w:t>Estate Agents &amp; Solicitors</w:t>
            </w:r>
          </w:p>
        </w:tc>
        <w:tc>
          <w:tcPr>
            <w:tcW w:type="dxa" w:w="4873"/>
          </w:tcPr>
          <w:p>
            <w:r>
              <w:rPr>
                <w:sz w:val="19"/>
              </w:rPr>
              <w:t>Retrofit cost disclosure on listings and in transactions.</w:t>
            </w:r>
          </w:p>
        </w:tc>
      </w:tr>
    </w:tbl>
    <w:p>
      <w:pPr>
        <w:spacing w:before="280" w:after="80"/>
      </w:pPr>
      <w:r>
        <w:rPr>
          <w:b/>
          <w:color w:val="B07D1A"/>
          <w:sz w:val="30"/>
        </w:rPr>
        <w:t>2. The Trial — What It Will Be Used For</w:t>
      </w:r>
    </w:p>
    <w:p>
      <w:pPr>
        <w:spacing w:after="120"/>
      </w:pPr>
      <w:r>
        <w:t>The trial exists to convert PlanitBER's stated accuracy (±15–20%) from a claim into evidence, and to prove the tool fits SEAI's real workflows. Four objectives:</w:t>
      </w:r>
    </w:p>
    <w:p>
      <w:pPr>
        <w:spacing w:after="120"/>
      </w:pPr>
      <w:r>
        <w:rPr>
          <w:b/>
          <w:color w:val="1E293B"/>
        </w:rPr>
        <w:t>Validate accuracy against real prices.</w:t>
      </w:r>
    </w:p>
    <w:p>
      <w:pPr>
        <w:spacing w:after="120"/>
      </w:pPr>
      <w:r>
        <w:t>Run 50–100 live projects through PlanitBER alongside actual contractor quotes and One Stop Shop pricing, across dwelling types (detached, semi-D, terrace, bungalow, apartment), age bands, counties and both grant schemes. Publish the error distribution per measure — not just an average. Where a measure runs hot or cold, the rate book is corrected and the correction is dated and versioned.</w:t>
      </w:r>
    </w:p>
    <w:p>
      <w:pPr>
        <w:spacing w:after="120"/>
      </w:pPr>
      <w:r>
        <w:rPr>
          <w:b/>
          <w:color w:val="1E293B"/>
        </w:rPr>
        <w:t>Prove the assessor workflow.</w:t>
      </w:r>
    </w:p>
    <w:p>
      <w:pPr>
        <w:spacing w:after="120"/>
      </w:pPr>
      <w:r>
        <w:t>Measure the time from completed BER survey to issued cost plan, and whether assessors can produce it during the visit. Success is a cost plan in the homeowner's hand in the same appointment as the certificate.</w:t>
      </w:r>
    </w:p>
    <w:p>
      <w:pPr>
        <w:spacing w:after="120"/>
      </w:pPr>
      <w:r>
        <w:rPr>
          <w:b/>
          <w:color w:val="1E293B"/>
        </w:rPr>
        <w:t>Capture the first actuals dataset.</w:t>
      </w:r>
    </w:p>
    <w:p>
      <w:pPr>
        <w:spacing w:after="120"/>
      </w:pPr>
      <w:r>
        <w:t xml:space="preserve">Every trial project's estimated-vs-actual figures, per measure per county, become the seed of a retrofit out-turn cost dataset that currently does not exist anywhere in the programme. Aggregated and anonymised, this is offered back to SEAI as trial output — evidence of what retrofits </w:t>
      </w:r>
      <w:r>
        <w:rPr>
          <w:i/>
        </w:rPr>
        <w:t>actually cost</w:t>
      </w:r>
      <w:r>
        <w:t>, independent of what anyone quoted.</w:t>
      </w:r>
    </w:p>
    <w:p>
      <w:pPr>
        <w:spacing w:after="120"/>
      </w:pPr>
      <w:r>
        <w:rPr>
          <w:b/>
          <w:color w:val="1E293B"/>
        </w:rPr>
        <w:t>Establish rate governance.</w:t>
      </w:r>
    </w:p>
    <w:p>
      <w:pPr>
        <w:spacing w:after="120"/>
      </w:pPr>
      <w:r>
        <w:t>The trial period formalises the rate book: named sources (SEO Wage Agreement, SCSI Regional Cost Supplement, merchant pricing), a published review cadence aligned to SEAI's February/March grant revisions, and a versioned change log. SEAI should be able to ask "what did the tool assume on any given date?" and get an exact answer.</w:t>
      </w:r>
    </w:p>
    <w:p>
      <w:pPr>
        <w:spacing w:after="120"/>
      </w:pPr>
      <w:r>
        <w:rPr>
          <w:b/>
          <w:color w:val="1E293B"/>
        </w:rPr>
        <w:t>Trial success criteria, stated up front:</w:t>
      </w:r>
      <w:r>
        <w:t xml:space="preserve"> measured accuracy within the published band for ≥80% of projects; cost plan issued same-day for ≥90% of assessments; a documented rate-correction cycle completed; homeowner conversion (assessment → grant application) tracked against a control group.</w:t>
      </w:r>
    </w:p>
    <w:p>
      <w:pPr>
        <w:spacing w:before="280" w:after="80"/>
      </w:pPr>
      <w:r>
        <w:rPr>
          <w:b/>
          <w:color w:val="B07D1A"/>
          <w:sz w:val="30"/>
        </w:rPr>
        <w:t>3. What It Can Become</w:t>
      </w:r>
    </w:p>
    <w:p>
      <w:pPr>
        <w:spacing w:after="120"/>
      </w:pPr>
      <w:r>
        <w:rPr>
          <w:b/>
          <w:color w:val="1E293B"/>
        </w:rPr>
        <w:t>The costed Advisory Report — the default next step after every BER.</w:t>
      </w:r>
    </w:p>
    <w:p>
      <w:pPr>
        <w:spacing w:after="120"/>
      </w:pPr>
      <w:r>
        <w:t xml:space="preserve">Ireland publishes roughly 100,000 BERs a year, and every one produces two things PlanitBER needs: a DEAP file holding the geometry (floor, wall, roof and window areas, age band, heat loss data) and an </w:t>
      </w:r>
      <w:r>
        <w:rPr>
          <w:b/>
          <w:color w:val="1E293B"/>
        </w:rPr>
        <w:t>Advisory Report holding the recommended measures</w:t>
      </w:r>
      <w:r>
        <w:t>. Between them they are a complete PlanitBER input — the survey has already been done, by a registered assessor, under SEAI's own quality regime.</w:t>
      </w:r>
    </w:p>
    <w:p>
      <w:pPr>
        <w:spacing w:after="120"/>
      </w:pPr>
      <w:r>
        <w:t xml:space="preserve">With SEAI's cooperation on the file format, the workflow becomes: </w:t>
      </w:r>
      <w:r>
        <w:rPr>
          <w:i/>
        </w:rPr>
        <w:t>upload the BER export and Advisory Report → costed, grant-netted plan in sixty seconds.</w:t>
      </w:r>
      <w:r>
        <w:t xml:space="preserve"> No re-surveying, no re-keying, no transcription error. This is the "add-on to DEAP" in its practical form, and it completes a natural set of three documents: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9"/>
              </w:rPr>
              <w:t>Document</w:t>
            </w:r>
          </w:p>
        </w:tc>
        <w:tc>
          <w:tcPr>
            <w:tcW w:type="dxa" w:w="3249"/>
          </w:tcPr>
          <w:p>
            <w:r>
              <w:rPr>
                <w:b/>
                <w:sz w:val="19"/>
              </w:rPr>
              <w:t>Answers</w:t>
            </w:r>
          </w:p>
        </w:tc>
        <w:tc>
          <w:tcPr>
            <w:tcW w:type="dxa" w:w="3249"/>
          </w:tcPr>
          <w:p>
            <w:r>
              <w:rPr>
                <w:b/>
                <w:sz w:val="19"/>
              </w:rPr>
              <w:t>Issued by</w:t>
            </w:r>
          </w:p>
        </w:tc>
      </w:tr>
      <w:tr>
        <w:tc>
          <w:tcPr>
            <w:tcW w:type="dxa" w:w="3249"/>
          </w:tcPr>
          <w:p>
            <w:r>
              <w:rPr>
                <w:sz w:val="19"/>
              </w:rPr>
              <w:t>BER Certificate</w:t>
            </w:r>
          </w:p>
        </w:tc>
        <w:tc>
          <w:tcPr>
            <w:tcW w:type="dxa" w:w="3249"/>
          </w:tcPr>
          <w:p>
            <w:r>
              <w:rPr>
                <w:sz w:val="19"/>
              </w:rPr>
              <w:t>How does this home perform?</w:t>
            </w:r>
          </w:p>
        </w:tc>
        <w:tc>
          <w:tcPr>
            <w:tcW w:type="dxa" w:w="3249"/>
          </w:tcPr>
          <w:p>
            <w:r>
              <w:rPr>
                <w:sz w:val="19"/>
              </w:rPr>
              <w:t>SEAI / assessor</w:t>
            </w:r>
          </w:p>
        </w:tc>
      </w:tr>
      <w:tr>
        <w:tc>
          <w:tcPr>
            <w:tcW w:type="dxa" w:w="3249"/>
          </w:tcPr>
          <w:p>
            <w:r>
              <w:rPr>
                <w:sz w:val="19"/>
              </w:rPr>
              <w:t>BER Advisory Report</w:t>
            </w:r>
          </w:p>
        </w:tc>
        <w:tc>
          <w:tcPr>
            <w:tcW w:type="dxa" w:w="3249"/>
          </w:tcPr>
          <w:p>
            <w:r>
              <w:rPr>
                <w:sz w:val="19"/>
              </w:rPr>
              <w:t>What should be done about it?</w:t>
            </w:r>
          </w:p>
        </w:tc>
        <w:tc>
          <w:tcPr>
            <w:tcW w:type="dxa" w:w="3249"/>
          </w:tcPr>
          <w:p>
            <w:r>
              <w:rPr>
                <w:sz w:val="19"/>
              </w:rPr>
              <w:t>SEAI / assessor</w:t>
            </w:r>
          </w:p>
        </w:tc>
      </w:tr>
      <w:tr>
        <w:tc>
          <w:tcPr>
            <w:tcW w:type="dxa" w:w="3249"/>
          </w:tcPr>
          <w:p>
            <w:r>
              <w:rPr>
                <w:b/>
                <w:color w:val="1E293B"/>
                <w:sz w:val="19"/>
              </w:rPr>
              <w:t>PlanitBER Cost Plan</w:t>
            </w:r>
          </w:p>
        </w:tc>
        <w:tc>
          <w:tcPr>
            <w:tcW w:type="dxa" w:w="3249"/>
          </w:tcPr>
          <w:p>
            <w:r>
              <w:rPr>
                <w:b/>
                <w:color w:val="1E293B"/>
                <w:sz w:val="19"/>
              </w:rPr>
              <w:t>What will that cost, net of grants?</w:t>
            </w:r>
          </w:p>
        </w:tc>
        <w:tc>
          <w:tcPr>
            <w:tcW w:type="dxa" w:w="3249"/>
          </w:tcPr>
          <w:p>
            <w:r>
              <w:rPr>
                <w:b/>
                <w:color w:val="1E293B"/>
                <w:sz w:val="19"/>
              </w:rPr>
              <w:t>PlanitBER</w:t>
            </w:r>
          </w:p>
        </w:tc>
      </w:tr>
    </w:tbl>
    <w:p>
      <w:pPr>
        <w:spacing w:after="120"/>
      </w:pPr>
      <w:r>
        <w:t>The first two are mandatory and already national. The third is the one the homeowner cannot get today.</w:t>
      </w:r>
    </w:p>
    <w:p>
      <w:pPr>
        <w:spacing w:after="120"/>
      </w:pPr>
      <w:r>
        <w:rPr>
          <w:b/>
          <w:color w:val="1E293B"/>
        </w:rPr>
        <w:t>A national retrofit cost index.</w:t>
      </w:r>
    </w:p>
    <w:p>
      <w:pPr>
        <w:spacing w:after="120"/>
      </w:pPr>
      <w:r>
        <w:t>At scale, the estimated-vs-actual dataset becomes a live index of retrofit costs per measure, per dwelling type, per county — the reference SEAI needs to calibrate grant rates annually, detect regional price anomalies, and demonstrate value for money to the Exchequer. Nobody holds this data today. The tool that produces the estimates is the natural instrument to collect the outcomes.</w:t>
      </w:r>
    </w:p>
    <w:p>
      <w:pPr>
        <w:spacing w:after="120"/>
      </w:pPr>
      <w:r>
        <w:rPr>
          <w:b/>
          <w:color w:val="1E293B"/>
        </w:rPr>
        <w:t>A compliance-aware eligibility engine.</w:t>
      </w:r>
    </w:p>
    <w:p>
      <w:pPr>
        <w:spacing w:after="120"/>
      </w:pPr>
      <w:r>
        <w:t>The next build step is encoding SEAI's eligibility gates directly into the tool — year-built rules for insulation and heat pump grants, the post-works HLI ≤ 2.3 W/m²K technical assessment threshold, measure-combination rules — so a plan that prices a grant is a plan that qualifies for it. Assessors stop making eligibility mistakes; SEAI stops processing applications that were never eligible.</w:t>
      </w:r>
    </w:p>
    <w:p>
      <w:pPr>
        <w:spacing w:after="120"/>
      </w:pPr>
      <w:r>
        <w:rPr>
          <w:b/>
          <w:color w:val="1E293B"/>
        </w:rPr>
        <w:t>The standard document for retrofit finance.</w:t>
      </w:r>
    </w:p>
    <w:p>
      <w:pPr>
        <w:spacing w:after="120"/>
      </w:pPr>
      <w:r>
        <w:t>Banks and credit unions writing green loans need a consistent, contractor-independent cost basis. A recognised PlanitBER cost plan — one format, reconcilable, grant-aware — is the missing standard attachment for the Home Energy Upgrade Loan Scheme.</w:t>
      </w:r>
    </w:p>
    <w:p>
      <w:pPr>
        <w:spacing w:after="120"/>
      </w:pPr>
      <w:r>
        <w:rPr>
          <w:b/>
          <w:color w:val="1E293B"/>
        </w:rPr>
        <w:t>Whole-project coverage.</w:t>
      </w:r>
    </w:p>
    <w:p>
      <w:pPr>
        <w:spacing w:after="120"/>
      </w:pPr>
      <w:r>
        <w:t>The same engine and report format already extend to refurbishment-plus-extension and new build, so deep retrofits that grow into bigger projects stay inside one consistent costing framework.</w:t>
      </w:r>
    </w:p>
    <w:p>
      <w:pPr>
        <w:spacing w:before="200" w:after="60"/>
      </w:pPr>
      <w:r>
        <w:rPr>
          <w:b/>
          <w:color w:val="1E293B"/>
          <w:sz w:val="24"/>
        </w:rPr>
        <w:t>The partnership path</w:t>
      </w:r>
    </w:p>
    <w:p>
      <w:pPr>
        <w:pStyle w:val="ListNumber"/>
      </w:pPr>
      <w:r>
        <w:rPr>
          <w:b/>
          <w:color w:val="1E293B"/>
        </w:rPr>
        <w:t>Pilot</w:t>
      </w:r>
      <w:r>
        <w:t xml:space="preserve"> — the trial above: accuracy report, actuals dataset, rate governance, delivered to SEAI.</w:t>
      </w:r>
    </w:p>
    <w:p>
      <w:pPr>
        <w:pStyle w:val="ListNumber"/>
      </w:pPr>
      <w:r>
        <w:rPr>
          <w:b/>
          <w:color w:val="1E293B"/>
        </w:rPr>
        <w:t>Recognition</w:t>
      </w:r>
      <w:r>
        <w:t xml:space="preserve"> — PlanitBER as a recognised indicative costing tool for assessors and One Stop Shops, with the rate-book maintenance commitment.</w:t>
      </w:r>
    </w:p>
    <w:p>
      <w:pPr>
        <w:pStyle w:val="ListNumber"/>
      </w:pPr>
      <w:r>
        <w:rPr>
          <w:b/>
          <w:color w:val="1E293B"/>
        </w:rPr>
        <w:t>Integration</w:t>
      </w:r>
      <w:r>
        <w:t xml:space="preserve"> — the BER file and Advisory Report handshake, making the costed plan the standard companion to every Advisory Report issued in the country.</w:t>
      </w:r>
    </w:p>
    <w:p>
      <w:pPr>
        <w:spacing w:after="120"/>
      </w:pPr>
      <w:r>
        <w:t>Each step gives SEAI something concrete — evidence, data, homeowner conversion — before asking for the next. The only thing PlanitBER asks of SEAI is access to the file formats for consenting homeowners; everything else is built and maintained on our side.</w:t>
      </w:r>
    </w:p>
    <w:p>
      <w:pPr>
        <w:spacing w:after="120"/>
      </w:pPr>
      <w:r>
        <w:rPr>
          <w:i/>
        </w:rPr>
        <w:t>PlanitBER V1 · Turley Energy Consultants · Indicative accuracy ±15–20% (to be evidenced in trial)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